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re"/>
      </w:pPr>
      <w:r>
        <w:t>Diapason en chiffres</w:t>
      </w:r>
    </w:p>
    <w:p>
      <w:pPr>
        <w:spacing w:after="80"/>
      </w:pPr>
      <w:r>
        <w:rPr>
          <w:color w:val="595959"/>
          <w:sz w:val="26"/>
        </w:rPr>
        <w:t>Bilan statistique des productions et des audiences — relevé du 21 octobre 2026</w:t>
      </w:r>
    </w:p>
    <w:p w:rsidR="00781F29" w:rsidRDefault="00781F29" w:rsidP="00781F29">
      <w:pPr>
        <w:spacing w:before="100" w:beforeAutospacing="1" w:after="100" w:afterAutospacing="1"/>
      </w:pPr>
      <w:r>
        <w:rPr>
          <w:b/>
          <w:bCs/>
        </w:rPr>
        <w:t xml:space="preserve">Rédaction - </w:t>
      </w:r>
      <w:r w:rsidRPr="00EC4A85">
        <w:rPr>
          <w:b/>
          <w:bCs/>
        </w:rPr>
        <w:t>Diapason</w:t>
      </w:r>
    </w:p>
    <w:p>
      <w:pPr>
        <w:spacing w:after="120"/>
      </w:pPr>
    </w:p>
    <w:p>
      <w:pPr>
        <w:pStyle w:val="Titre1"/>
        <w:spacing w:after="160"/>
      </w:pPr>
      <w:r>
        <w:t>Synthèse</w:t>
      </w:r>
    </w:p>
    <w:p>
      <w:pPr>
        <w:pStyle w:val="Paragraphedeliste"/>
        <w:numPr>
          <w:ilvl w:val="0"/>
          <w:numId w:val="1"/>
        </w:numPr>
        <w:spacing w:after="120" w:line="276" w:lineRule="auto"/>
        <w:jc w:val="both"/>
      </w:pPr>
      <w:r>
        <w:rPr>
          <w:b/>
        </w:rPr>
        <w:t xml:space="preserve">Une production soutenue. </w:t>
      </w:r>
      <w:r>
        <w:t>240 articles publiés sur diapason.mg depuis mars 2023, soit 202 103 mots. 2025 a été l'année la plus productive (121 articles) ; 2026 en compte déjà 77, avec le lancement des décryptages (17).</w:t>
      </w:r>
    </w:p>
    <w:p>
      <w:pPr>
        <w:pStyle w:val="Paragraphedeliste"/>
        <w:numPr>
          <w:ilvl w:val="0"/>
          <w:numId w:val="1"/>
        </w:numPr>
        <w:spacing w:after="120" w:line="276" w:lineRule="auto"/>
        <w:jc w:val="both"/>
      </w:pPr>
      <w:r>
        <w:rPr>
          <w:b/>
        </w:rPr>
        <w:t xml:space="preserve">Facebook est le moteur de l'audience. </w:t>
      </w:r>
      <w:r>
        <w:t>754 900 vues depuis janvier 2025, contre 14 162 vues sur le site sur la même période, soit environ 50 fois plus.</w:t>
      </w:r>
    </w:p>
    <w:p>
      <w:pPr>
        <w:pStyle w:val="Paragraphedeliste"/>
        <w:numPr>
          <w:ilvl w:val="0"/>
          <w:numId w:val="1"/>
        </w:numPr>
        <w:spacing w:after="120" w:line="276" w:lineRule="auto"/>
        <w:jc w:val="both"/>
      </w:pPr>
      <w:r>
        <w:rPr>
          <w:b/>
        </w:rPr>
        <w:t xml:space="preserve">La vidéo d'intervention fait les pics. </w:t>
      </w:r>
      <w:r>
        <w:t>11 des 12 contenus Facebook les plus vus sont des extraits d'interventions TV. La série « Frappes en Iran » (mars-avril 2026) a apporté près de 400 000 vues et environ 2 000 abonnés.</w:t>
      </w:r>
    </w:p>
    <w:p>
      <w:pPr>
        <w:pStyle w:val="Paragraphedeliste"/>
        <w:numPr>
          <w:ilvl w:val="0"/>
          <w:numId w:val="1"/>
        </w:numPr>
        <w:spacing w:after="120" w:line="276" w:lineRule="auto"/>
        <w:jc w:val="both"/>
      </w:pPr>
      <w:r>
        <w:rPr>
          <w:b/>
        </w:rPr>
        <w:t xml:space="preserve">Un lectorat partagé entre Madagascar et la France. </w:t>
      </w:r>
      <w:r>
        <w:t>Vues du site : France 6 036, Madagascar 5 988. Antananarivo pèse 48 % des utilisateurs (GA4), Paris 10 %. Temps de lecture moyen : 2 min 47.</w:t>
      </w:r>
    </w:p>
    <w:p>
      <w:pPr>
        <w:pStyle w:val="Paragraphedeliste"/>
        <w:numPr>
          <w:ilvl w:val="0"/>
          <w:numId w:val="1"/>
        </w:numPr>
        <w:spacing w:after="120" w:line="276" w:lineRule="auto"/>
        <w:jc w:val="both"/>
      </w:pPr>
      <w:r>
        <w:rPr>
          <w:b/>
        </w:rPr>
        <w:t xml:space="preserve">Des relais encore modestes hors Facebook. </w:t>
      </w:r>
      <w:r>
        <w:t>LinkedIn 698 abonnés, newsletter 252, Instagram 233, X 54. Au total 4 737 abonnés tous canaux.</w:t>
      </w:r>
    </w:p>
    <w:p>
      <w:pPr>
        <w:pStyle w:val="Paragraphedeliste"/>
        <w:numPr>
          <w:ilvl w:val="0"/>
          <w:numId w:val="1"/>
        </w:numPr>
        <w:spacing w:after="120" w:line="276" w:lineRule="auto"/>
        <w:jc w:val="both"/>
      </w:pPr>
      <w:r>
        <w:rPr>
          <w:b/>
        </w:rPr>
        <w:t xml:space="preserve">Une visibilité médiatique réelle. </w:t>
      </w:r>
      <w:r>
        <w:t>Interventions repérées sur France 24, TV5Monde, DW, Telesud et Multipolaire, et reprises par WATHI, pS-Eau, Madagascar Tribune et 2424.mg.</w:t>
      </w:r>
    </w:p>
    <w:p>
      <w:pPr>
        <w:pStyle w:val="Titre2"/>
        <w:spacing w:before="240" w:after="120"/>
      </w:pPr>
      <w:r>
        <w:t>Indicateurs clés</w:t>
      </w:r>
    </w:p>
    <w:tbl>
      <w:tblPr>
        <w:jc w:val="center"/>
        <w:tblLook w:firstColumn="1" w:firstRow="1" w:lastColumn="0" w:lastRow="0" w:noHBand="0" w:noVBand="1" w:val="04A0"/>
        <w:tblW w:w="9072" w:type="dxa"/>
        <w:tblLayout w:type="fixed"/>
      </w:tblPr>
      <w:tblGrid>
        <w:gridCol w:w="2268"/>
        <w:gridCol w:w="2268"/>
        <w:gridCol w:w="2268"/>
        <w:gridCol w:w="2268"/>
      </w:tblGrid>
      <w:tr>
        <w:tc>
          <w:tcPr>
            <w:tcW w:type="dxa" w:w="2268"/>
            <w:shd w:val="clear" w:color="auto" w:fill="DEEAF6"/>
            <w:tcBorders>
              <w:top w:val="single" w:sz="24" w:color="FFFFFF"/>
              <w:left w:val="single" w:sz="24" w:color="FFFFFF"/>
              <w:bottom w:val="single" w:sz="24" w:color="FFFFFF"/>
              <w:right w:val="single" w:sz="24" w:color="FFFFFF"/>
            </w:tcBorders>
          </w:tcPr>
          <w:p>
            <w:pPr>
              <w:spacing w:after="0"/>
            </w:pPr>
            <w:r/>
            <w:r>
              <w:rPr>
                <w:rFonts w:ascii="Calibri" w:hAnsi="Calibri"/>
                <w:color w:val="595959"/>
                <w:sz w:val="17"/>
              </w:rPr>
              <w:t>Articles publiés</w:t>
            </w:r>
          </w:p>
          <w:p>
            <w:pPr>
              <w:spacing w:after="0"/>
            </w:pPr>
            <w:r>
              <w:rPr>
                <w:rFonts w:ascii="Calibri Light" w:hAnsi="Calibri Light"/>
                <w:color w:val="2F5496"/>
                <w:sz w:val="40"/>
              </w:rPr>
              <w:t>240</w:t>
            </w:r>
          </w:p>
          <w:p>
            <w:pPr>
              <w:spacing w:after="40"/>
            </w:pPr>
            <w:r>
              <w:rPr>
                <w:rFonts w:ascii="Calibri" w:hAnsi="Calibri"/>
                <w:color w:val="595959"/>
                <w:sz w:val="15"/>
              </w:rPr>
              <w:t>mars 2023 – oct. 2026</w:t>
            </w:r>
          </w:p>
        </w:tc>
        <w:tc>
          <w:tcPr>
            <w:tcW w:type="dxa" w:w="2268"/>
            <w:shd w:val="clear" w:color="auto" w:fill="DEEAF6"/>
            <w:tcBorders>
              <w:top w:val="single" w:sz="24" w:color="FFFFFF"/>
              <w:left w:val="single" w:sz="24" w:color="FFFFFF"/>
              <w:bottom w:val="single" w:sz="24" w:color="FFFFFF"/>
              <w:right w:val="single" w:sz="24" w:color="FFFFFF"/>
            </w:tcBorders>
          </w:tcPr>
          <w:p>
            <w:pPr>
              <w:spacing w:after="0"/>
            </w:pPr>
            <w:r/>
            <w:r>
              <w:rPr>
                <w:rFonts w:ascii="Calibri" w:hAnsi="Calibri"/>
                <w:color w:val="595959"/>
                <w:sz w:val="17"/>
              </w:rPr>
              <w:t>Mots publiés</w:t>
            </w:r>
          </w:p>
          <w:p>
            <w:pPr>
              <w:spacing w:after="0"/>
            </w:pPr>
            <w:r>
              <w:rPr>
                <w:rFonts w:ascii="Calibri Light" w:hAnsi="Calibri Light"/>
                <w:color w:val="2F5496"/>
                <w:sz w:val="40"/>
              </w:rPr>
              <w:t>202 103</w:t>
            </w:r>
          </w:p>
          <w:p>
            <w:pPr>
              <w:spacing w:after="40"/>
            </w:pPr>
            <w:r>
              <w:rPr>
                <w:rFonts w:ascii="Calibri" w:hAnsi="Calibri"/>
                <w:color w:val="595959"/>
                <w:sz w:val="15"/>
              </w:rPr>
              <w:t>tous articles</w:t>
            </w:r>
          </w:p>
        </w:tc>
        <w:tc>
          <w:tcPr>
            <w:tcW w:type="dxa" w:w="2268"/>
            <w:shd w:val="clear" w:color="auto" w:fill="DEEAF6"/>
            <w:tcBorders>
              <w:top w:val="single" w:sz="24" w:color="FFFFFF"/>
              <w:left w:val="single" w:sz="24" w:color="FFFFFF"/>
              <w:bottom w:val="single" w:sz="24" w:color="FFFFFF"/>
              <w:right w:val="single" w:sz="24" w:color="FFFFFF"/>
            </w:tcBorders>
          </w:tcPr>
          <w:p>
            <w:pPr>
              <w:spacing w:after="0"/>
            </w:pPr>
            <w:r/>
            <w:r>
              <w:rPr>
                <w:rFonts w:ascii="Calibri" w:hAnsi="Calibri"/>
                <w:color w:val="595959"/>
                <w:sz w:val="17"/>
              </w:rPr>
              <w:t>Décryptages</w:t>
            </w:r>
          </w:p>
          <w:p>
            <w:pPr>
              <w:spacing w:after="0"/>
            </w:pPr>
            <w:r>
              <w:rPr>
                <w:rFonts w:ascii="Calibri Light" w:hAnsi="Calibri Light"/>
                <w:color w:val="2F5496"/>
                <w:sz w:val="40"/>
              </w:rPr>
              <w:t>17</w:t>
            </w:r>
          </w:p>
          <w:p>
            <w:pPr>
              <w:spacing w:after="40"/>
            </w:pPr>
            <w:r>
              <w:rPr>
                <w:rFonts w:ascii="Calibri" w:hAnsi="Calibri"/>
                <w:color w:val="595959"/>
                <w:sz w:val="15"/>
              </w:rPr>
              <w:t>depuis 2026</w:t>
            </w:r>
          </w:p>
        </w:tc>
        <w:tc>
          <w:tcPr>
            <w:tcW w:type="dxa" w:w="2268"/>
            <w:shd w:val="clear" w:color="auto" w:fill="DEEAF6"/>
            <w:tcBorders>
              <w:top w:val="single" w:sz="24" w:color="FFFFFF"/>
              <w:left w:val="single" w:sz="24" w:color="FFFFFF"/>
              <w:bottom w:val="single" w:sz="24" w:color="FFFFFF"/>
              <w:right w:val="single" w:sz="24" w:color="FFFFFF"/>
            </w:tcBorders>
          </w:tcPr>
          <w:p>
            <w:pPr>
              <w:spacing w:after="0"/>
            </w:pPr>
            <w:r/>
            <w:r>
              <w:rPr>
                <w:rFonts w:ascii="Calibri" w:hAnsi="Calibri"/>
                <w:color w:val="595959"/>
                <w:sz w:val="17"/>
              </w:rPr>
              <w:t>Épisodes de podcast</w:t>
            </w:r>
          </w:p>
          <w:p>
            <w:pPr>
              <w:spacing w:after="0"/>
            </w:pPr>
            <w:r>
              <w:rPr>
                <w:rFonts w:ascii="Calibri Light" w:hAnsi="Calibri Light"/>
                <w:color w:val="2F5496"/>
                <w:sz w:val="40"/>
              </w:rPr>
              <w:t>18</w:t>
            </w:r>
          </w:p>
          <w:p>
            <w:pPr>
              <w:spacing w:after="40"/>
            </w:pPr>
            <w:r>
              <w:rPr>
                <w:rFonts w:ascii="Calibri" w:hAnsi="Calibri"/>
                <w:color w:val="595959"/>
                <w:sz w:val="15"/>
              </w:rPr>
              <w:t>Ausha, 47 à 60 min</w:t>
            </w:r>
          </w:p>
        </w:tc>
      </w:tr>
      <w:tr>
        <w:tc>
          <w:tcPr>
            <w:tcW w:type="dxa" w:w="2268"/>
            <w:shd w:val="clear" w:color="auto" w:fill="DEEAF6"/>
            <w:tcBorders>
              <w:top w:val="single" w:sz="24" w:color="FFFFFF"/>
              <w:left w:val="single" w:sz="24" w:color="FFFFFF"/>
              <w:bottom w:val="single" w:sz="24" w:color="FFFFFF"/>
              <w:right w:val="single" w:sz="24" w:color="FFFFFF"/>
            </w:tcBorders>
          </w:tcPr>
          <w:p>
            <w:pPr>
              <w:spacing w:after="0"/>
            </w:pPr>
            <w:r/>
            <w:r>
              <w:rPr>
                <w:rFonts w:ascii="Calibri" w:hAnsi="Calibri"/>
                <w:color w:val="595959"/>
                <w:sz w:val="17"/>
              </w:rPr>
              <w:t>Vues Facebook</w:t>
            </w:r>
          </w:p>
          <w:p>
            <w:pPr>
              <w:spacing w:after="0"/>
            </w:pPr>
            <w:r>
              <w:rPr>
                <w:rFonts w:ascii="Calibri Light" w:hAnsi="Calibri Light"/>
                <w:color w:val="2F5496"/>
                <w:sz w:val="40"/>
              </w:rPr>
              <w:t>754 900</w:t>
            </w:r>
          </w:p>
          <w:p>
            <w:pPr>
              <w:spacing w:after="40"/>
            </w:pPr>
            <w:r>
              <w:rPr>
                <w:rFonts w:ascii="Calibri" w:hAnsi="Calibri"/>
                <w:color w:val="595959"/>
                <w:sz w:val="15"/>
              </w:rPr>
              <w:t>depuis janv. 2025</w:t>
            </w:r>
          </w:p>
        </w:tc>
        <w:tc>
          <w:tcPr>
            <w:tcW w:type="dxa" w:w="2268"/>
            <w:shd w:val="clear" w:color="auto" w:fill="DEEAF6"/>
            <w:tcBorders>
              <w:top w:val="single" w:sz="24" w:color="FFFFFF"/>
              <w:left w:val="single" w:sz="24" w:color="FFFFFF"/>
              <w:bottom w:val="single" w:sz="24" w:color="FFFFFF"/>
              <w:right w:val="single" w:sz="24" w:color="FFFFFF"/>
            </w:tcBorders>
          </w:tcPr>
          <w:p>
            <w:pPr>
              <w:spacing w:after="0"/>
            </w:pPr>
            <w:r/>
            <w:r>
              <w:rPr>
                <w:rFonts w:ascii="Calibri" w:hAnsi="Calibri"/>
                <w:color w:val="595959"/>
                <w:sz w:val="17"/>
              </w:rPr>
              <w:t>Vues du site</w:t>
            </w:r>
          </w:p>
          <w:p>
            <w:pPr>
              <w:spacing w:after="0"/>
            </w:pPr>
            <w:r>
              <w:rPr>
                <w:rFonts w:ascii="Calibri Light" w:hAnsi="Calibri Light"/>
                <w:color w:val="2F5496"/>
                <w:sz w:val="40"/>
              </w:rPr>
              <w:t>14 162</w:t>
            </w:r>
          </w:p>
          <w:p>
            <w:pPr>
              <w:spacing w:after="40"/>
            </w:pPr>
            <w:r>
              <w:rPr>
                <w:rFonts w:ascii="Calibri" w:hAnsi="Calibri"/>
                <w:color w:val="595959"/>
                <w:sz w:val="15"/>
              </w:rPr>
              <w:t>depuis janv. 2025</w:t>
            </w:r>
          </w:p>
        </w:tc>
        <w:tc>
          <w:tcPr>
            <w:tcW w:type="dxa" w:w="2268"/>
            <w:shd w:val="clear" w:color="auto" w:fill="DEEAF6"/>
            <w:tcBorders>
              <w:top w:val="single" w:sz="24" w:color="FFFFFF"/>
              <w:left w:val="single" w:sz="24" w:color="FFFFFF"/>
              <w:bottom w:val="single" w:sz="24" w:color="FFFFFF"/>
              <w:right w:val="single" w:sz="24" w:color="FFFFFF"/>
            </w:tcBorders>
          </w:tcPr>
          <w:p>
            <w:pPr>
              <w:spacing w:after="0"/>
            </w:pPr>
            <w:r/>
            <w:r>
              <w:rPr>
                <w:rFonts w:ascii="Calibri" w:hAnsi="Calibri"/>
                <w:color w:val="595959"/>
                <w:sz w:val="17"/>
              </w:rPr>
              <w:t>Abonnés tous canaux</w:t>
            </w:r>
          </w:p>
          <w:p>
            <w:pPr>
              <w:spacing w:after="0"/>
            </w:pPr>
            <w:r>
              <w:rPr>
                <w:rFonts w:ascii="Calibri Light" w:hAnsi="Calibri Light"/>
                <w:color w:val="2F5496"/>
                <w:sz w:val="40"/>
              </w:rPr>
              <w:t>4 737</w:t>
            </w:r>
          </w:p>
          <w:p>
            <w:pPr>
              <w:spacing w:after="40"/>
            </w:pPr>
            <w:r>
              <w:rPr>
                <w:rFonts w:ascii="Calibri" w:hAnsi="Calibri"/>
                <w:color w:val="595959"/>
                <w:sz w:val="15"/>
              </w:rPr>
              <w:t>au 21 oct. 2026</w:t>
            </w:r>
          </w:p>
        </w:tc>
        <w:tc>
          <w:tcPr>
            <w:tcW w:type="dxa" w:w="2268"/>
            <w:shd w:val="clear" w:color="auto" w:fill="DEEAF6"/>
            <w:tcBorders>
              <w:top w:val="single" w:sz="24" w:color="FFFFFF"/>
              <w:left w:val="single" w:sz="24" w:color="FFFFFF"/>
              <w:bottom w:val="single" w:sz="24" w:color="FFFFFF"/>
              <w:right w:val="single" w:sz="24" w:color="FFFFFF"/>
            </w:tcBorders>
          </w:tcPr>
          <w:p>
            <w:pPr>
              <w:spacing w:after="0"/>
            </w:pPr>
            <w:r/>
            <w:r>
              <w:rPr>
                <w:rFonts w:ascii="Calibri" w:hAnsi="Calibri"/>
                <w:color w:val="595959"/>
                <w:sz w:val="17"/>
              </w:rPr>
              <w:t>Temps de lecture moyen</w:t>
            </w:r>
          </w:p>
          <w:p>
            <w:pPr>
              <w:spacing w:after="0"/>
            </w:pPr>
            <w:r>
              <w:rPr>
                <w:rFonts w:ascii="Calibri Light" w:hAnsi="Calibri Light"/>
                <w:color w:val="2F5496"/>
                <w:sz w:val="40"/>
              </w:rPr>
              <w:t>2 min 47</w:t>
            </w:r>
          </w:p>
          <w:p>
            <w:pPr>
              <w:spacing w:after="40"/>
            </w:pPr>
            <w:r>
              <w:rPr>
                <w:rFonts w:ascii="Calibri" w:hAnsi="Calibri"/>
                <w:color w:val="595959"/>
                <w:sz w:val="15"/>
              </w:rPr>
              <w:t>GA4, 12 mois</w:t>
            </w:r>
          </w:p>
        </w:tc>
      </w:tr>
    </w:tbl>
    <w:p>
      <w:r>
        <w:br w:type="page"/>
      </w:r>
    </w:p>
    <w:p>
      <w:pPr>
        <w:pStyle w:val="Titre1"/>
        <w:spacing w:after="160"/>
      </w:pPr>
      <w:r>
        <w:t>1. Production éditoriale</w:t>
      </w:r>
    </w:p>
    <w:p>
      <w:pPr>
        <w:spacing w:after="160" w:line="276" w:lineRule="auto"/>
        <w:jc w:val="both"/>
      </w:pPr>
      <w:r>
        <w:rPr/>
        <w:t>Le rythme s'est installé à partir de janvier 2025 : 8 à 13 articles par mois, avec un pic de 21 en octobre 2025 au moment du mouvement Gen Z. Deux creux nets : août 2025 (aucun article) et août 2026 (un seul).</w:t>
      </w:r>
    </w:p>
    <w:p>
      <w:pPr>
        <w:keepNext/>
        <w:spacing w:after="40"/>
      </w:pPr>
      <w:r>
        <w:drawing>
          <wp:inline xmlns:a="http://schemas.openxmlformats.org/drawingml/2006/main" xmlns:pic="http://schemas.openxmlformats.org/drawingml/2006/picture">
            <wp:extent cx="5760000" cy="2150400"/>
            <wp:docPr id="1" name="Picture 1"/>
            <wp:cNvGraphicFramePr>
              <a:graphicFrameLocks noChangeAspect="1"/>
            </wp:cNvGraphicFramePr>
            <a:graphic>
              <a:graphicData uri="http://schemas.openxmlformats.org/drawingml/2006/picture">
                <pic:pic>
                  <pic:nvPicPr>
                    <pic:cNvPr id="0" name="posts.png"/>
                    <pic:cNvPicPr/>
                  </pic:nvPicPr>
                  <pic:blipFill>
                    <a:blip r:embed="rId14"/>
                    <a:stretch>
                      <a:fillRect/>
                    </a:stretch>
                  </pic:blipFill>
                  <pic:spPr>
                    <a:xfrm>
                      <a:off x="0" y="0"/>
                      <a:ext cx="5760000" cy="2150400"/>
                    </a:xfrm>
                    <a:prstGeom prst="rect"/>
                  </pic:spPr>
                </pic:pic>
              </a:graphicData>
            </a:graphic>
          </wp:inline>
        </w:drawing>
      </w:r>
    </w:p>
    <w:p>
      <w:pPr>
        <w:spacing w:after="240"/>
      </w:pPr>
      <w:r>
        <w:rPr>
          <w:i/>
          <w:color w:val="595959"/>
          <w:sz w:val="18"/>
        </w:rPr>
        <w:t>Articles publiés par mois, janvier 2025 – octobre 2026. Source : API WordPress.</w:t>
      </w:r>
    </w:p>
    <w:p>
      <w:pPr>
        <w:pStyle w:val="Titre2"/>
        <w:spacing w:before="240" w:after="120"/>
      </w:pPr>
      <w:r>
        <w:t>Par année</w:t>
      </w:r>
    </w:p>
    <w:tbl>
      <w:tblPr>
        <w:jc w:val="center"/>
        <w:tblLook w:firstColumn="1" w:firstRow="1" w:lastColumn="0" w:lastRow="0" w:noHBand="0" w:noVBand="1" w:val="04A0"/>
        <w:tblW w:w="8505" w:type="dxa"/>
        <w:tblLayout w:type="fixed"/>
      </w:tblPr>
      <w:tblGrid>
        <w:gridCol w:w="2835"/>
        <w:gridCol w:w="2835"/>
        <w:gridCol w:w="2835"/>
      </w:tblGrid>
      <w:tr>
        <w:trPr>
          <w:tblHeader w:val="true"/>
        </w:trPr>
        <w:tc>
          <w:tcPr>
            <w:tcW w:type="dxa" w:w="2835"/>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Année</w:t>
            </w:r>
          </w:p>
        </w:tc>
        <w:tc>
          <w:tcPr>
            <w:tcW w:type="dxa" w:w="2835"/>
            <w:shd w:val="clear" w:color="auto" w:fill="2F5496"/>
            <w:tcBorders>
              <w:top w:val="single" w:sz="4" w:color="2F5496"/>
              <w:left w:val="nil"/>
              <w:bottom w:val="single" w:sz="4" w:color="2F5496"/>
              <w:right w:val="nil"/>
            </w:tcBorders>
          </w:tcPr>
          <w:p>
            <w:pPr>
              <w:spacing w:after="0" w:before="0"/>
              <w:jc w:val="right"/>
            </w:pPr>
            <w:r/>
            <w:r>
              <w:rPr>
                <w:rFonts w:ascii="Calibri" w:hAnsi="Calibri"/>
                <w:b/>
                <w:color w:val="FFFFFF"/>
                <w:sz w:val="19"/>
              </w:rPr>
              <w:t>Articles</w:t>
            </w:r>
          </w:p>
        </w:tc>
        <w:tc>
          <w:tcPr>
            <w:tcW w:type="dxa" w:w="2835"/>
            <w:shd w:val="clear" w:color="auto" w:fill="2F5496"/>
            <w:tcBorders>
              <w:top w:val="single" w:sz="4" w:color="2F5496"/>
              <w:left w:val="nil"/>
              <w:bottom w:val="single" w:sz="4" w:color="2F5496"/>
              <w:right w:val="nil"/>
            </w:tcBorders>
          </w:tcPr>
          <w:p>
            <w:pPr>
              <w:spacing w:after="0" w:before="0"/>
              <w:jc w:val="right"/>
            </w:pPr>
            <w:r/>
            <w:r>
              <w:rPr>
                <w:rFonts w:ascii="Calibri" w:hAnsi="Calibri"/>
                <w:b/>
                <w:color w:val="FFFFFF"/>
                <w:sz w:val="19"/>
              </w:rPr>
              <w:t>Mots</w:t>
            </w:r>
          </w:p>
        </w:tc>
      </w:tr>
      <w:tr>
        <w:tc>
          <w:tcPr>
            <w:tcW w:type="dxa" w:w="2835"/>
            <w:tcBorders>
              <w:top w:val="single" w:sz="4" w:color="BFBFBF"/>
              <w:left w:val="nil"/>
              <w:bottom w:val="single" w:sz="4" w:color="BFBFBF"/>
              <w:right w:val="nil"/>
            </w:tcBorders>
          </w:tcPr>
          <w:p>
            <w:pPr>
              <w:spacing w:after="0" w:before="0"/>
            </w:pPr>
            <w:r/>
            <w:r>
              <w:rPr>
                <w:rFonts w:ascii="Calibri" w:hAnsi="Calibri"/>
                <w:sz w:val="19"/>
              </w:rPr>
              <w:t>2023</w:t>
            </w:r>
          </w:p>
        </w:tc>
        <w:tc>
          <w:tcPr>
            <w:tcW w:type="dxa" w:w="2835"/>
            <w:tcBorders>
              <w:top w:val="single" w:sz="4" w:color="BFBFBF"/>
              <w:left w:val="nil"/>
              <w:bottom w:val="single" w:sz="4" w:color="BFBFBF"/>
              <w:right w:val="nil"/>
            </w:tcBorders>
          </w:tcPr>
          <w:p>
            <w:pPr>
              <w:spacing w:after="0" w:before="0"/>
              <w:jc w:val="right"/>
            </w:pPr>
            <w:r/>
            <w:r>
              <w:rPr>
                <w:rFonts w:ascii="Calibri" w:hAnsi="Calibri"/>
                <w:sz w:val="19"/>
              </w:rPr>
              <w:t>22</w:t>
            </w:r>
          </w:p>
        </w:tc>
        <w:tc>
          <w:tcPr>
            <w:tcW w:type="dxa" w:w="2835"/>
            <w:tcBorders>
              <w:top w:val="single" w:sz="4" w:color="BFBFBF"/>
              <w:left w:val="nil"/>
              <w:bottom w:val="single" w:sz="4" w:color="BFBFBF"/>
              <w:right w:val="nil"/>
            </w:tcBorders>
          </w:tcPr>
          <w:p>
            <w:pPr>
              <w:spacing w:after="0" w:before="0"/>
              <w:jc w:val="right"/>
            </w:pPr>
            <w:r/>
            <w:r>
              <w:rPr>
                <w:rFonts w:ascii="Calibri" w:hAnsi="Calibri"/>
                <w:sz w:val="19"/>
              </w:rPr>
              <w:t>11 156</w:t>
            </w:r>
          </w:p>
        </w:tc>
      </w:tr>
      <w:tr>
        <w:tc>
          <w:tcPr>
            <w:tcW w:type="dxa" w:w="2835"/>
            <w:tcBorders>
              <w:top w:val="single" w:sz="4" w:color="BFBFBF"/>
              <w:left w:val="nil"/>
              <w:bottom w:val="single" w:sz="4" w:color="BFBFBF"/>
              <w:right w:val="nil"/>
            </w:tcBorders>
            <w:shd w:val="clear" w:color="auto" w:fill="F2F5FA"/>
          </w:tcPr>
          <w:p>
            <w:pPr>
              <w:spacing w:after="0" w:before="0"/>
            </w:pPr>
            <w:r/>
            <w:r>
              <w:rPr>
                <w:rFonts w:ascii="Calibri" w:hAnsi="Calibri"/>
                <w:sz w:val="19"/>
              </w:rPr>
              <w:t>2024</w:t>
            </w:r>
          </w:p>
        </w:tc>
        <w:tc>
          <w:tcPr>
            <w:tcW w:type="dxa" w:w="2835"/>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20</w:t>
            </w:r>
          </w:p>
        </w:tc>
        <w:tc>
          <w:tcPr>
            <w:tcW w:type="dxa" w:w="2835"/>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5 307</w:t>
            </w:r>
          </w:p>
        </w:tc>
      </w:tr>
      <w:tr>
        <w:tc>
          <w:tcPr>
            <w:tcW w:type="dxa" w:w="2835"/>
            <w:tcBorders>
              <w:top w:val="single" w:sz="4" w:color="BFBFBF"/>
              <w:left w:val="nil"/>
              <w:bottom w:val="single" w:sz="4" w:color="BFBFBF"/>
              <w:right w:val="nil"/>
            </w:tcBorders>
          </w:tcPr>
          <w:p>
            <w:pPr>
              <w:spacing w:after="0" w:before="0"/>
            </w:pPr>
            <w:r/>
            <w:r>
              <w:rPr>
                <w:rFonts w:ascii="Calibri" w:hAnsi="Calibri"/>
                <w:sz w:val="19"/>
              </w:rPr>
              <w:t>2025</w:t>
            </w:r>
          </w:p>
        </w:tc>
        <w:tc>
          <w:tcPr>
            <w:tcW w:type="dxa" w:w="2835"/>
            <w:tcBorders>
              <w:top w:val="single" w:sz="4" w:color="BFBFBF"/>
              <w:left w:val="nil"/>
              <w:bottom w:val="single" w:sz="4" w:color="BFBFBF"/>
              <w:right w:val="nil"/>
            </w:tcBorders>
          </w:tcPr>
          <w:p>
            <w:pPr>
              <w:spacing w:after="0" w:before="0"/>
              <w:jc w:val="right"/>
            </w:pPr>
            <w:r/>
            <w:r>
              <w:rPr>
                <w:rFonts w:ascii="Calibri" w:hAnsi="Calibri"/>
                <w:sz w:val="19"/>
              </w:rPr>
              <w:t>121</w:t>
            </w:r>
          </w:p>
        </w:tc>
        <w:tc>
          <w:tcPr>
            <w:tcW w:type="dxa" w:w="2835"/>
            <w:tcBorders>
              <w:top w:val="single" w:sz="4" w:color="BFBFBF"/>
              <w:left w:val="nil"/>
              <w:bottom w:val="single" w:sz="4" w:color="BFBFBF"/>
              <w:right w:val="nil"/>
            </w:tcBorders>
          </w:tcPr>
          <w:p>
            <w:pPr>
              <w:spacing w:after="0" w:before="0"/>
              <w:jc w:val="right"/>
            </w:pPr>
            <w:r/>
            <w:r>
              <w:rPr>
                <w:rFonts w:ascii="Calibri" w:hAnsi="Calibri"/>
                <w:sz w:val="19"/>
              </w:rPr>
              <w:t>105 509</w:t>
            </w:r>
          </w:p>
        </w:tc>
      </w:tr>
      <w:tr>
        <w:tc>
          <w:tcPr>
            <w:tcW w:type="dxa" w:w="2835"/>
            <w:tcBorders>
              <w:top w:val="single" w:sz="4" w:color="BFBFBF"/>
              <w:left w:val="nil"/>
              <w:bottom w:val="single" w:sz="4" w:color="BFBFBF"/>
              <w:right w:val="nil"/>
            </w:tcBorders>
            <w:shd w:val="clear" w:color="auto" w:fill="F2F5FA"/>
          </w:tcPr>
          <w:p>
            <w:pPr>
              <w:spacing w:after="0" w:before="0"/>
            </w:pPr>
            <w:r/>
            <w:r>
              <w:rPr>
                <w:rFonts w:ascii="Calibri" w:hAnsi="Calibri"/>
                <w:sz w:val="19"/>
              </w:rPr>
              <w:t>2026</w:t>
            </w:r>
          </w:p>
        </w:tc>
        <w:tc>
          <w:tcPr>
            <w:tcW w:type="dxa" w:w="2835"/>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77</w:t>
            </w:r>
          </w:p>
        </w:tc>
        <w:tc>
          <w:tcPr>
            <w:tcW w:type="dxa" w:w="2835"/>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80 131</w:t>
            </w:r>
          </w:p>
        </w:tc>
      </w:tr>
    </w:tbl>
    <w:p>
      <w:pPr>
        <w:spacing w:after="240"/>
      </w:pPr>
      <w:r>
        <w:rPr>
          <w:i/>
          <w:color w:val="595959"/>
          <w:sz w:val="18"/>
        </w:rPr>
        <w:t>2023 et 2024 : phase de lancement (conférences, premières analyses).</w:t>
      </w:r>
    </w:p>
    <w:p>
      <w:pPr>
        <w:pStyle w:val="Titre2"/>
        <w:spacing w:before="240" w:after="120"/>
      </w:pPr>
      <w:r>
        <w:t>Formats</w:t>
      </w:r>
    </w:p>
    <w:p>
      <w:pPr>
        <w:spacing w:after="160" w:line="276" w:lineRule="auto"/>
        <w:jc w:val="both"/>
      </w:pPr>
      <w:r>
        <w:rPr/>
        <w:t>L'article d'analyse long reste le cœur de la production : 117 articles d'environ 1 500 mots en moyenne. Les tribunes libres sont presque aussi longues (1 148 mots). Les vidéos, décryptages et newsletters sont des formats courts qui renvoient vers les analyses.</w:t>
      </w:r>
    </w:p>
    <w:p>
      <w:pPr>
        <w:keepNext/>
        <w:spacing w:after="40"/>
      </w:pPr>
      <w:r>
        <w:drawing>
          <wp:inline xmlns:a="http://schemas.openxmlformats.org/drawingml/2006/main" xmlns:pic="http://schemas.openxmlformats.org/drawingml/2006/picture">
            <wp:extent cx="5760000" cy="2764800"/>
            <wp:docPr id="2" name="Picture 2"/>
            <wp:cNvGraphicFramePr>
              <a:graphicFrameLocks noChangeAspect="1"/>
            </wp:cNvGraphicFramePr>
            <a:graphic>
              <a:graphicData uri="http://schemas.openxmlformats.org/drawingml/2006/picture">
                <pic:pic>
                  <pic:nvPicPr>
                    <pic:cNvPr id="0" name="formats.png"/>
                    <pic:cNvPicPr/>
                  </pic:nvPicPr>
                  <pic:blipFill>
                    <a:blip r:embed="rId15"/>
                    <a:stretch>
                      <a:fillRect/>
                    </a:stretch>
                  </pic:blipFill>
                  <pic:spPr>
                    <a:xfrm>
                      <a:off x="0" y="0"/>
                      <a:ext cx="5760000" cy="2764800"/>
                    </a:xfrm>
                    <a:prstGeom prst="rect"/>
                  </pic:spPr>
                </pic:pic>
              </a:graphicData>
            </a:graphic>
          </wp:inline>
        </w:drawing>
      </w:r>
    </w:p>
    <w:p>
      <w:pPr>
        <w:spacing w:after="240"/>
      </w:pPr>
      <w:r>
        <w:rPr>
          <w:i/>
          <w:color w:val="595959"/>
          <w:sz w:val="18"/>
        </w:rPr>
        <w:t>Nombre d'articles par rubrique de format. Un article peut figurer dans plusieurs rubriques.</w:t>
      </w:r>
    </w:p>
    <w:p>
      <w:pPr>
        <w:pStyle w:val="Titre2"/>
        <w:spacing w:before="240" w:after="120"/>
      </w:pPr>
      <w:r>
        <w:t>Thèmes des analyses</w:t>
      </w:r>
    </w:p>
    <w:tbl>
      <w:tblPr>
        <w:jc w:val="center"/>
        <w:tblLook w:firstColumn="1" w:firstRow="1" w:lastColumn="0" w:lastRow="0" w:noHBand="0" w:noVBand="1" w:val="04A0"/>
        <w:tblW w:w="8505" w:type="dxa"/>
        <w:tblLayout w:type="fixed"/>
      </w:tblPr>
      <w:tblGrid>
        <w:gridCol w:w="6237"/>
        <w:gridCol w:w="2268"/>
      </w:tblGrid>
      <w:tr>
        <w:trPr>
          <w:tblHeader w:val="true"/>
        </w:trPr>
        <w:tc>
          <w:tcPr>
            <w:tcW w:type="dxa" w:w="6236"/>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Thème</w:t>
            </w:r>
          </w:p>
        </w:tc>
        <w:tc>
          <w:tcPr>
            <w:tcW w:type="dxa" w:w="2268"/>
            <w:shd w:val="clear" w:color="auto" w:fill="2F5496"/>
            <w:tcBorders>
              <w:top w:val="single" w:sz="4" w:color="2F5496"/>
              <w:left w:val="nil"/>
              <w:bottom w:val="single" w:sz="4" w:color="2F5496"/>
              <w:right w:val="nil"/>
            </w:tcBorders>
          </w:tcPr>
          <w:p>
            <w:pPr>
              <w:spacing w:after="0" w:before="0"/>
              <w:jc w:val="right"/>
            </w:pPr>
            <w:r/>
            <w:r>
              <w:rPr>
                <w:rFonts w:ascii="Calibri" w:hAnsi="Calibri"/>
                <w:b/>
                <w:color w:val="FFFFFF"/>
                <w:sz w:val="19"/>
              </w:rPr>
              <w:t>Articles</w:t>
            </w:r>
          </w:p>
        </w:tc>
      </w:tr>
      <w:tr>
        <w:tc>
          <w:tcPr>
            <w:tcW w:type="dxa" w:w="6236"/>
            <w:tcBorders>
              <w:top w:val="single" w:sz="4" w:color="BFBFBF"/>
              <w:left w:val="nil"/>
              <w:bottom w:val="single" w:sz="4" w:color="BFBFBF"/>
              <w:right w:val="nil"/>
            </w:tcBorders>
          </w:tcPr>
          <w:p>
            <w:pPr>
              <w:spacing w:after="0" w:before="0"/>
            </w:pPr>
            <w:r/>
            <w:r>
              <w:rPr>
                <w:rFonts w:ascii="Calibri" w:hAnsi="Calibri"/>
                <w:sz w:val="19"/>
              </w:rPr>
              <w:t>Institutionnel</w:t>
            </w:r>
          </w:p>
        </w:tc>
        <w:tc>
          <w:tcPr>
            <w:tcW w:type="dxa" w:w="2268"/>
            <w:tcBorders>
              <w:top w:val="single" w:sz="4" w:color="BFBFBF"/>
              <w:left w:val="nil"/>
              <w:bottom w:val="single" w:sz="4" w:color="BFBFBF"/>
              <w:right w:val="nil"/>
            </w:tcBorders>
          </w:tcPr>
          <w:p>
            <w:pPr>
              <w:spacing w:after="0" w:before="0"/>
              <w:jc w:val="right"/>
            </w:pPr>
            <w:r/>
            <w:r>
              <w:rPr>
                <w:rFonts w:ascii="Calibri" w:hAnsi="Calibri"/>
                <w:sz w:val="19"/>
              </w:rPr>
              <w:t>79</w:t>
            </w:r>
          </w:p>
        </w:tc>
      </w:tr>
      <w:tr>
        <w:tc>
          <w:tcPr>
            <w:tcW w:type="dxa" w:w="6236"/>
            <w:tcBorders>
              <w:top w:val="single" w:sz="4" w:color="BFBFBF"/>
              <w:left w:val="nil"/>
              <w:bottom w:val="single" w:sz="4" w:color="BFBFBF"/>
              <w:right w:val="nil"/>
            </w:tcBorders>
            <w:shd w:val="clear" w:color="auto" w:fill="F2F5FA"/>
          </w:tcPr>
          <w:p>
            <w:pPr>
              <w:spacing w:after="0" w:before="0"/>
            </w:pPr>
            <w:r/>
            <w:r>
              <w:rPr>
                <w:rFonts w:ascii="Calibri" w:hAnsi="Calibri"/>
                <w:sz w:val="19"/>
              </w:rPr>
              <w:t>Économie</w:t>
            </w:r>
          </w:p>
        </w:tc>
        <w:tc>
          <w:tcPr>
            <w:tcW w:type="dxa" w:w="2268"/>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44</w:t>
            </w:r>
          </w:p>
        </w:tc>
      </w:tr>
      <w:tr>
        <w:tc>
          <w:tcPr>
            <w:tcW w:type="dxa" w:w="6236"/>
            <w:tcBorders>
              <w:top w:val="single" w:sz="4" w:color="BFBFBF"/>
              <w:left w:val="nil"/>
              <w:bottom w:val="single" w:sz="4" w:color="BFBFBF"/>
              <w:right w:val="nil"/>
            </w:tcBorders>
          </w:tcPr>
          <w:p>
            <w:pPr>
              <w:spacing w:after="0" w:before="0"/>
            </w:pPr>
            <w:r/>
            <w:r>
              <w:rPr>
                <w:rFonts w:ascii="Calibri" w:hAnsi="Calibri"/>
                <w:sz w:val="19"/>
              </w:rPr>
              <w:t>Social, santé et environnement</w:t>
            </w:r>
          </w:p>
        </w:tc>
        <w:tc>
          <w:tcPr>
            <w:tcW w:type="dxa" w:w="2268"/>
            <w:tcBorders>
              <w:top w:val="single" w:sz="4" w:color="BFBFBF"/>
              <w:left w:val="nil"/>
              <w:bottom w:val="single" w:sz="4" w:color="BFBFBF"/>
              <w:right w:val="nil"/>
            </w:tcBorders>
          </w:tcPr>
          <w:p>
            <w:pPr>
              <w:spacing w:after="0" w:before="0"/>
              <w:jc w:val="right"/>
            </w:pPr>
            <w:r/>
            <w:r>
              <w:rPr>
                <w:rFonts w:ascii="Calibri" w:hAnsi="Calibri"/>
                <w:sz w:val="19"/>
              </w:rPr>
              <w:t>28</w:t>
            </w:r>
          </w:p>
        </w:tc>
      </w:tr>
      <w:tr>
        <w:tc>
          <w:tcPr>
            <w:tcW w:type="dxa" w:w="6236"/>
            <w:tcBorders>
              <w:top w:val="single" w:sz="4" w:color="BFBFBF"/>
              <w:left w:val="nil"/>
              <w:bottom w:val="single" w:sz="4" w:color="BFBFBF"/>
              <w:right w:val="nil"/>
            </w:tcBorders>
            <w:shd w:val="clear" w:color="auto" w:fill="F2F5FA"/>
          </w:tcPr>
          <w:p>
            <w:pPr>
              <w:spacing w:after="0" w:before="0"/>
            </w:pPr>
            <w:r/>
            <w:r>
              <w:rPr>
                <w:rFonts w:ascii="Calibri" w:hAnsi="Calibri"/>
                <w:sz w:val="19"/>
              </w:rPr>
              <w:t>Culture et éducation</w:t>
            </w:r>
          </w:p>
        </w:tc>
        <w:tc>
          <w:tcPr>
            <w:tcW w:type="dxa" w:w="2268"/>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15</w:t>
            </w:r>
          </w:p>
        </w:tc>
      </w:tr>
    </w:tbl>
    <w:p>
      <w:pPr>
        <w:spacing w:after="240"/>
      </w:pPr>
      <w:r>
        <w:rPr>
          <w:i/>
          <w:color w:val="595959"/>
          <w:sz w:val="18"/>
        </w:rPr>
        <w:t>Sous-rubriques de la rubrique « Articles ». L'institutionnel domine, suivi de l'économie.</w:t>
      </w:r>
    </w:p>
    <w:p>
      <w:pPr>
        <w:pStyle w:val="Titre2"/>
        <w:spacing w:before="240" w:after="120"/>
      </w:pPr>
      <w:r>
        <w:t>Autres productions</w:t>
      </w:r>
    </w:p>
    <w:p>
      <w:pPr>
        <w:pStyle w:val="Paragraphedeliste"/>
        <w:numPr>
          <w:ilvl w:val="0"/>
          <w:numId w:val="1"/>
        </w:numPr>
        <w:spacing w:after="120" w:line="276" w:lineRule="auto"/>
        <w:jc w:val="both"/>
      </w:pPr>
      <w:r>
        <w:t>18 épisodes de podcast sur Ausha, de 47 à 60 minutes chacun.</w:t>
      </w:r>
    </w:p>
    <w:p>
      <w:pPr>
        <w:pStyle w:val="Paragraphedeliste"/>
        <w:numPr>
          <w:ilvl w:val="0"/>
          <w:numId w:val="1"/>
        </w:numPr>
        <w:spacing w:after="120" w:line="276" w:lineRule="auto"/>
        <w:jc w:val="both"/>
      </w:pPr>
      <w:r>
        <w:t>985 fichiers médias sur le site, dont 164 PDF, 37 vidéos et 30 fichiers audio.</w:t>
      </w:r>
    </w:p>
    <w:p>
      <w:pPr>
        <w:pStyle w:val="Paragraphedeliste"/>
        <w:numPr>
          <w:ilvl w:val="0"/>
          <w:numId w:val="1"/>
        </w:numPr>
        <w:spacing w:after="120" w:line="276" w:lineRule="auto"/>
        <w:jc w:val="both"/>
      </w:pPr>
      <w:r>
        <w:t>Une newsletter numérotée (n° 29 en octobre 2026) et un « Débat Hebdo », page la plus vue du site après l'accueil.</w:t>
      </w:r>
    </w:p>
    <w:p>
      <w:pPr>
        <w:pStyle w:val="Titre1"/>
        <w:spacing w:after="160"/>
      </w:pPr>
      <w:r>
        <w:t>2. Audience du site diapason.mg</w:t>
      </w:r>
    </w:p>
    <w:p>
      <w:pPr>
        <w:spacing w:after="160" w:line="276" w:lineRule="auto"/>
        <w:jc w:val="both"/>
      </w:pPr>
      <w:r>
        <w:rPr/>
        <w:t>Le site a cumulé 14 162 vues et 7 056 visiteurs depuis janvier 2025 (Jetpack). Sur 12 mois glissants, Google Analytics compte 9 499 vues, 2 632 utilisateurs et 2 min 47 d'engagement moyen. Le pic d'octobre 2025 (1 797 vues) correspond au mouvement Gen Z.</w:t>
      </w:r>
    </w:p>
    <w:p>
      <w:pPr>
        <w:keepNext/>
        <w:spacing w:after="40"/>
      </w:pPr>
      <w:r>
        <w:drawing>
          <wp:inline xmlns:a="http://schemas.openxmlformats.org/drawingml/2006/main" xmlns:pic="http://schemas.openxmlformats.org/drawingml/2006/picture">
            <wp:extent cx="5760000" cy="2150400"/>
            <wp:docPr id="3" name="Picture 3"/>
            <wp:cNvGraphicFramePr>
              <a:graphicFrameLocks noChangeAspect="1"/>
            </wp:cNvGraphicFramePr>
            <a:graphic>
              <a:graphicData uri="http://schemas.openxmlformats.org/drawingml/2006/picture">
                <pic:pic>
                  <pic:nvPicPr>
                    <pic:cNvPr id="0" name="site.png"/>
                    <pic:cNvPicPr/>
                  </pic:nvPicPr>
                  <pic:blipFill>
                    <a:blip r:embed="rId16"/>
                    <a:stretch>
                      <a:fillRect/>
                    </a:stretch>
                  </pic:blipFill>
                  <pic:spPr>
                    <a:xfrm>
                      <a:off x="0" y="0"/>
                      <a:ext cx="5760000" cy="2150400"/>
                    </a:xfrm>
                    <a:prstGeom prst="rect"/>
                  </pic:spPr>
                </pic:pic>
              </a:graphicData>
            </a:graphic>
          </wp:inline>
        </w:drawing>
      </w:r>
    </w:p>
    <w:p>
      <w:pPr>
        <w:spacing w:after="240"/>
      </w:pPr>
      <w:r>
        <w:rPr>
          <w:i/>
          <w:color w:val="595959"/>
          <w:sz w:val="18"/>
        </w:rPr>
        <w:t>Vues du site par mois. Source : Jetpack.</w:t>
      </w:r>
    </w:p>
    <w:p>
      <w:pPr>
        <w:pStyle w:val="Titre2"/>
        <w:spacing w:before="240" w:after="120"/>
      </w:pPr>
      <w:r>
        <w:t>D'où viennent les visites</w:t>
      </w:r>
    </w:p>
    <w:p>
      <w:pPr>
        <w:keepNext/>
        <w:spacing w:after="40"/>
      </w:pPr>
      <w:r>
        <w:drawing>
          <wp:inline xmlns:a="http://schemas.openxmlformats.org/drawingml/2006/main" xmlns:pic="http://schemas.openxmlformats.org/drawingml/2006/picture">
            <wp:extent cx="5760000" cy="1996800"/>
            <wp:docPr id="4" name="Picture 4"/>
            <wp:cNvGraphicFramePr>
              <a:graphicFrameLocks noChangeAspect="1"/>
            </wp:cNvGraphicFramePr>
            <a:graphic>
              <a:graphicData uri="http://schemas.openxmlformats.org/drawingml/2006/picture">
                <pic:pic>
                  <pic:nvPicPr>
                    <pic:cNvPr id="0" name="canaux.png"/>
                    <pic:cNvPicPr/>
                  </pic:nvPicPr>
                  <pic:blipFill>
                    <a:blip r:embed="rId17"/>
                    <a:stretch>
                      <a:fillRect/>
                    </a:stretch>
                  </pic:blipFill>
                  <pic:spPr>
                    <a:xfrm>
                      <a:off x="0" y="0"/>
                      <a:ext cx="5760000" cy="1996800"/>
                    </a:xfrm>
                    <a:prstGeom prst="rect"/>
                  </pic:spPr>
                </pic:pic>
              </a:graphicData>
            </a:graphic>
          </wp:inline>
        </w:drawing>
      </w:r>
    </w:p>
    <w:p>
      <w:pPr>
        <w:spacing w:after="240"/>
      </w:pPr>
      <w:r>
        <w:rPr>
          <w:i/>
          <w:color w:val="595959"/>
          <w:sz w:val="18"/>
        </w:rPr>
        <w:t>Sessions par canal, 12 derniers mois. Source : Google Analytics 4.</w:t>
      </w:r>
    </w:p>
    <w:p>
      <w:pPr>
        <w:spacing w:after="160" w:line="276" w:lineRule="auto"/>
        <w:jc w:val="both"/>
      </w:pPr>
      <w:r>
        <w:rPr/>
        <w:t>L'accès direct (45 %) et Google (30 %) dominent. Les réseaux sociaux apportent 18 % des sessions, alors que Facebook génère l'essentiel des vues de Diapason : la plupart des personnes qui voient une vidéo ne cliquent pas jusqu'au site.</w:t>
      </w:r>
    </w:p>
    <w:p>
      <w:pPr>
        <w:pStyle w:val="Titre2"/>
        <w:spacing w:before="240" w:after="120"/>
      </w:pPr>
      <w:r>
        <w:t>Pays et villes</w:t>
      </w:r>
    </w:p>
    <w:p>
      <w:pPr>
        <w:keepNext/>
        <w:spacing w:after="40"/>
      </w:pPr>
      <w:r>
        <w:drawing>
          <wp:inline xmlns:a="http://schemas.openxmlformats.org/drawingml/2006/main" xmlns:pic="http://schemas.openxmlformats.org/drawingml/2006/picture">
            <wp:extent cx="5760000" cy="2457600"/>
            <wp:docPr id="5" name="Picture 5"/>
            <wp:cNvGraphicFramePr>
              <a:graphicFrameLocks noChangeAspect="1"/>
            </wp:cNvGraphicFramePr>
            <a:graphic>
              <a:graphicData uri="http://schemas.openxmlformats.org/drawingml/2006/picture">
                <pic:pic>
                  <pic:nvPicPr>
                    <pic:cNvPr id="0" name="pays.png"/>
                    <pic:cNvPicPr/>
                  </pic:nvPicPr>
                  <pic:blipFill>
                    <a:blip r:embed="rId18"/>
                    <a:stretch>
                      <a:fillRect/>
                    </a:stretch>
                  </pic:blipFill>
                  <pic:spPr>
                    <a:xfrm>
                      <a:off x="0" y="0"/>
                      <a:ext cx="5760000" cy="2457600"/>
                    </a:xfrm>
                    <a:prstGeom prst="rect"/>
                  </pic:spPr>
                </pic:pic>
              </a:graphicData>
            </a:graphic>
          </wp:inline>
        </w:drawing>
      </w:r>
    </w:p>
    <w:p>
      <w:pPr>
        <w:spacing w:after="240"/>
      </w:pPr>
      <w:r>
        <w:rPr>
          <w:i/>
          <w:color w:val="595959"/>
          <w:sz w:val="18"/>
        </w:rPr>
        <w:t>Vues par pays depuis janvier 2025. Source : Jetpack.</w:t>
      </w:r>
    </w:p>
    <w:tbl>
      <w:tblPr>
        <w:jc w:val="center"/>
        <w:tblLook w:firstColumn="1" w:firstRow="1" w:lastColumn="0" w:lastRow="0" w:noHBand="0" w:noVBand="1" w:val="04A0"/>
        <w:tblW w:w="8505" w:type="dxa"/>
        <w:tblLayout w:type="fixed"/>
      </w:tblPr>
      <w:tblGrid>
        <w:gridCol w:w="6237"/>
        <w:gridCol w:w="2268"/>
      </w:tblGrid>
      <w:tr>
        <w:trPr>
          <w:tblHeader w:val="true"/>
        </w:trPr>
        <w:tc>
          <w:tcPr>
            <w:tcW w:type="dxa" w:w="6236"/>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Ville</w:t>
            </w:r>
          </w:p>
        </w:tc>
        <w:tc>
          <w:tcPr>
            <w:tcW w:type="dxa" w:w="2268"/>
            <w:shd w:val="clear" w:color="auto" w:fill="2F5496"/>
            <w:tcBorders>
              <w:top w:val="single" w:sz="4" w:color="2F5496"/>
              <w:left w:val="nil"/>
              <w:bottom w:val="single" w:sz="4" w:color="2F5496"/>
              <w:right w:val="nil"/>
            </w:tcBorders>
          </w:tcPr>
          <w:p>
            <w:pPr>
              <w:spacing w:after="0" w:before="0"/>
              <w:jc w:val="right"/>
            </w:pPr>
            <w:r/>
            <w:r>
              <w:rPr>
                <w:rFonts w:ascii="Calibri" w:hAnsi="Calibri"/>
                <w:b/>
                <w:color w:val="FFFFFF"/>
                <w:sz w:val="19"/>
              </w:rPr>
              <w:t>Utilisateurs (12 mois)</w:t>
            </w:r>
          </w:p>
        </w:tc>
      </w:tr>
      <w:tr>
        <w:tc>
          <w:tcPr>
            <w:tcW w:type="dxa" w:w="6236"/>
            <w:tcBorders>
              <w:top w:val="single" w:sz="4" w:color="BFBFBF"/>
              <w:left w:val="nil"/>
              <w:bottom w:val="single" w:sz="4" w:color="BFBFBF"/>
              <w:right w:val="nil"/>
            </w:tcBorders>
          </w:tcPr>
          <w:p>
            <w:pPr>
              <w:spacing w:after="0" w:before="0"/>
            </w:pPr>
            <w:r/>
            <w:r>
              <w:rPr>
                <w:rFonts w:ascii="Calibri" w:hAnsi="Calibri"/>
                <w:sz w:val="19"/>
              </w:rPr>
              <w:t>Antananarivo</w:t>
            </w:r>
          </w:p>
        </w:tc>
        <w:tc>
          <w:tcPr>
            <w:tcW w:type="dxa" w:w="2268"/>
            <w:tcBorders>
              <w:top w:val="single" w:sz="4" w:color="BFBFBF"/>
              <w:left w:val="nil"/>
              <w:bottom w:val="single" w:sz="4" w:color="BFBFBF"/>
              <w:right w:val="nil"/>
            </w:tcBorders>
          </w:tcPr>
          <w:p>
            <w:pPr>
              <w:spacing w:after="0" w:before="0"/>
              <w:jc w:val="right"/>
            </w:pPr>
            <w:r/>
            <w:r>
              <w:rPr>
                <w:rFonts w:ascii="Calibri" w:hAnsi="Calibri"/>
                <w:sz w:val="19"/>
              </w:rPr>
              <w:t>1 269</w:t>
            </w:r>
          </w:p>
        </w:tc>
      </w:tr>
      <w:tr>
        <w:tc>
          <w:tcPr>
            <w:tcW w:type="dxa" w:w="6236"/>
            <w:tcBorders>
              <w:top w:val="single" w:sz="4" w:color="BFBFBF"/>
              <w:left w:val="nil"/>
              <w:bottom w:val="single" w:sz="4" w:color="BFBFBF"/>
              <w:right w:val="nil"/>
            </w:tcBorders>
            <w:shd w:val="clear" w:color="auto" w:fill="F2F5FA"/>
          </w:tcPr>
          <w:p>
            <w:pPr>
              <w:spacing w:after="0" w:before="0"/>
            </w:pPr>
            <w:r/>
            <w:r>
              <w:rPr>
                <w:rFonts w:ascii="Calibri" w:hAnsi="Calibri"/>
                <w:sz w:val="19"/>
              </w:rPr>
              <w:t>Paris</w:t>
            </w:r>
          </w:p>
        </w:tc>
        <w:tc>
          <w:tcPr>
            <w:tcW w:type="dxa" w:w="2268"/>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276</w:t>
            </w:r>
          </w:p>
        </w:tc>
      </w:tr>
      <w:tr>
        <w:tc>
          <w:tcPr>
            <w:tcW w:type="dxa" w:w="6236"/>
            <w:tcBorders>
              <w:top w:val="single" w:sz="4" w:color="BFBFBF"/>
              <w:left w:val="nil"/>
              <w:bottom w:val="single" w:sz="4" w:color="BFBFBF"/>
              <w:right w:val="nil"/>
            </w:tcBorders>
          </w:tcPr>
          <w:p>
            <w:pPr>
              <w:spacing w:after="0" w:before="0"/>
            </w:pPr>
            <w:r/>
            <w:r>
              <w:rPr>
                <w:rFonts w:ascii="Calibri" w:hAnsi="Calibri"/>
                <w:sz w:val="19"/>
              </w:rPr>
              <w:t>Toamasina</w:t>
            </w:r>
          </w:p>
        </w:tc>
        <w:tc>
          <w:tcPr>
            <w:tcW w:type="dxa" w:w="2268"/>
            <w:tcBorders>
              <w:top w:val="single" w:sz="4" w:color="BFBFBF"/>
              <w:left w:val="nil"/>
              <w:bottom w:val="single" w:sz="4" w:color="BFBFBF"/>
              <w:right w:val="nil"/>
            </w:tcBorders>
          </w:tcPr>
          <w:p>
            <w:pPr>
              <w:spacing w:after="0" w:before="0"/>
              <w:jc w:val="right"/>
            </w:pPr>
            <w:r/>
            <w:r>
              <w:rPr>
                <w:rFonts w:ascii="Calibri" w:hAnsi="Calibri"/>
                <w:sz w:val="19"/>
              </w:rPr>
              <w:t>37</w:t>
            </w:r>
          </w:p>
        </w:tc>
      </w:tr>
      <w:tr>
        <w:tc>
          <w:tcPr>
            <w:tcW w:type="dxa" w:w="6236"/>
            <w:tcBorders>
              <w:top w:val="single" w:sz="4" w:color="BFBFBF"/>
              <w:left w:val="nil"/>
              <w:bottom w:val="single" w:sz="4" w:color="BFBFBF"/>
              <w:right w:val="nil"/>
            </w:tcBorders>
            <w:shd w:val="clear" w:color="auto" w:fill="F2F5FA"/>
          </w:tcPr>
          <w:p>
            <w:pPr>
              <w:spacing w:after="0" w:before="0"/>
            </w:pPr>
            <w:r/>
            <w:r>
              <w:rPr>
                <w:rFonts w:ascii="Calibri" w:hAnsi="Calibri"/>
                <w:sz w:val="19"/>
              </w:rPr>
              <w:t>Saint-Denis (Réunion)</w:t>
            </w:r>
          </w:p>
        </w:tc>
        <w:tc>
          <w:tcPr>
            <w:tcW w:type="dxa" w:w="2268"/>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33</w:t>
            </w:r>
          </w:p>
        </w:tc>
      </w:tr>
      <w:tr>
        <w:tc>
          <w:tcPr>
            <w:tcW w:type="dxa" w:w="6236"/>
            <w:tcBorders>
              <w:top w:val="single" w:sz="4" w:color="BFBFBF"/>
              <w:left w:val="nil"/>
              <w:bottom w:val="single" w:sz="4" w:color="BFBFBF"/>
              <w:right w:val="nil"/>
            </w:tcBorders>
          </w:tcPr>
          <w:p>
            <w:pPr>
              <w:spacing w:after="0" w:before="0"/>
            </w:pPr>
            <w:r/>
            <w:r>
              <w:rPr>
                <w:rFonts w:ascii="Calibri" w:hAnsi="Calibri"/>
                <w:sz w:val="19"/>
              </w:rPr>
              <w:t>Mahajanga</w:t>
            </w:r>
          </w:p>
        </w:tc>
        <w:tc>
          <w:tcPr>
            <w:tcW w:type="dxa" w:w="2268"/>
            <w:tcBorders>
              <w:top w:val="single" w:sz="4" w:color="BFBFBF"/>
              <w:left w:val="nil"/>
              <w:bottom w:val="single" w:sz="4" w:color="BFBFBF"/>
              <w:right w:val="nil"/>
            </w:tcBorders>
          </w:tcPr>
          <w:p>
            <w:pPr>
              <w:spacing w:after="0" w:before="0"/>
              <w:jc w:val="right"/>
            </w:pPr>
            <w:r/>
            <w:r>
              <w:rPr>
                <w:rFonts w:ascii="Calibri" w:hAnsi="Calibri"/>
                <w:sz w:val="19"/>
              </w:rPr>
              <w:t>31</w:t>
            </w:r>
          </w:p>
        </w:tc>
      </w:tr>
      <w:tr>
        <w:tc>
          <w:tcPr>
            <w:tcW w:type="dxa" w:w="6236"/>
            <w:tcBorders>
              <w:top w:val="single" w:sz="4" w:color="BFBFBF"/>
              <w:left w:val="nil"/>
              <w:bottom w:val="single" w:sz="4" w:color="BFBFBF"/>
              <w:right w:val="nil"/>
            </w:tcBorders>
            <w:shd w:val="clear" w:color="auto" w:fill="F2F5FA"/>
          </w:tcPr>
          <w:p>
            <w:pPr>
              <w:spacing w:after="0" w:before="0"/>
            </w:pPr>
            <w:r/>
            <w:r>
              <w:rPr>
                <w:rFonts w:ascii="Calibri" w:hAnsi="Calibri"/>
                <w:sz w:val="19"/>
              </w:rPr>
              <w:t>Marseille</w:t>
            </w:r>
          </w:p>
        </w:tc>
        <w:tc>
          <w:tcPr>
            <w:tcW w:type="dxa" w:w="2268"/>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29</w:t>
            </w:r>
          </w:p>
        </w:tc>
      </w:tr>
      <w:tr>
        <w:tc>
          <w:tcPr>
            <w:tcW w:type="dxa" w:w="6236"/>
            <w:tcBorders>
              <w:top w:val="single" w:sz="4" w:color="BFBFBF"/>
              <w:left w:val="nil"/>
              <w:bottom w:val="single" w:sz="4" w:color="BFBFBF"/>
              <w:right w:val="nil"/>
            </w:tcBorders>
          </w:tcPr>
          <w:p>
            <w:pPr>
              <w:spacing w:after="0" w:before="0"/>
            </w:pPr>
            <w:r/>
            <w:r>
              <w:rPr>
                <w:rFonts w:ascii="Calibri" w:hAnsi="Calibri"/>
                <w:sz w:val="19"/>
              </w:rPr>
              <w:t>Antsiranana</w:t>
            </w:r>
          </w:p>
        </w:tc>
        <w:tc>
          <w:tcPr>
            <w:tcW w:type="dxa" w:w="2268"/>
            <w:tcBorders>
              <w:top w:val="single" w:sz="4" w:color="BFBFBF"/>
              <w:left w:val="nil"/>
              <w:bottom w:val="single" w:sz="4" w:color="BFBFBF"/>
              <w:right w:val="nil"/>
            </w:tcBorders>
          </w:tcPr>
          <w:p>
            <w:pPr>
              <w:spacing w:after="0" w:before="0"/>
              <w:jc w:val="right"/>
            </w:pPr>
            <w:r/>
            <w:r>
              <w:rPr>
                <w:rFonts w:ascii="Calibri" w:hAnsi="Calibri"/>
                <w:sz w:val="19"/>
              </w:rPr>
              <w:t>25</w:t>
            </w:r>
          </w:p>
        </w:tc>
      </w:tr>
      <w:tr>
        <w:tc>
          <w:tcPr>
            <w:tcW w:type="dxa" w:w="6236"/>
            <w:tcBorders>
              <w:top w:val="single" w:sz="4" w:color="BFBFBF"/>
              <w:left w:val="nil"/>
              <w:bottom w:val="single" w:sz="4" w:color="BFBFBF"/>
              <w:right w:val="nil"/>
            </w:tcBorders>
            <w:shd w:val="clear" w:color="auto" w:fill="F2F5FA"/>
          </w:tcPr>
          <w:p>
            <w:pPr>
              <w:spacing w:after="0" w:before="0"/>
            </w:pPr>
            <w:r/>
            <w:r>
              <w:rPr>
                <w:rFonts w:ascii="Calibri" w:hAnsi="Calibri"/>
                <w:sz w:val="19"/>
              </w:rPr>
              <w:t>Lyon</w:t>
            </w:r>
          </w:p>
        </w:tc>
        <w:tc>
          <w:tcPr>
            <w:tcW w:type="dxa" w:w="2268"/>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25</w:t>
            </w:r>
          </w:p>
        </w:tc>
      </w:tr>
    </w:tbl>
    <w:p>
      <w:pPr>
        <w:spacing w:after="240"/>
      </w:pPr>
      <w:r>
        <w:rPr>
          <w:i/>
          <w:color w:val="595959"/>
          <w:sz w:val="18"/>
        </w:rPr>
        <w:t>Source : Google Analytics 4.</w:t>
      </w:r>
    </w:p>
    <w:p>
      <w:pPr>
        <w:pStyle w:val="Titre2"/>
        <w:spacing w:before="240" w:after="120"/>
      </w:pPr>
      <w:r>
        <w:t>Sites qui envoient du trafic</w:t>
      </w:r>
    </w:p>
    <w:tbl>
      <w:tblPr>
        <w:jc w:val="center"/>
        <w:tblLook w:firstColumn="1" w:firstRow="1" w:lastColumn="0" w:lastRow="0" w:noHBand="0" w:noVBand="1" w:val="04A0"/>
        <w:tblW w:w="8505" w:type="dxa"/>
        <w:tblLayout w:type="fixed"/>
      </w:tblPr>
      <w:tblGrid>
        <w:gridCol w:w="6237"/>
        <w:gridCol w:w="2268"/>
      </w:tblGrid>
      <w:tr>
        <w:trPr>
          <w:tblHeader w:val="true"/>
        </w:trPr>
        <w:tc>
          <w:tcPr>
            <w:tcW w:type="dxa" w:w="6236"/>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Référent</w:t>
            </w:r>
          </w:p>
        </w:tc>
        <w:tc>
          <w:tcPr>
            <w:tcW w:type="dxa" w:w="2268"/>
            <w:shd w:val="clear" w:color="auto" w:fill="2F5496"/>
            <w:tcBorders>
              <w:top w:val="single" w:sz="4" w:color="2F5496"/>
              <w:left w:val="nil"/>
              <w:bottom w:val="single" w:sz="4" w:color="2F5496"/>
              <w:right w:val="nil"/>
            </w:tcBorders>
          </w:tcPr>
          <w:p>
            <w:pPr>
              <w:spacing w:after="0" w:before="0"/>
              <w:jc w:val="right"/>
            </w:pPr>
            <w:r/>
            <w:r>
              <w:rPr>
                <w:rFonts w:ascii="Calibri" w:hAnsi="Calibri"/>
                <w:b/>
                <w:color w:val="FFFFFF"/>
                <w:sz w:val="19"/>
              </w:rPr>
              <w:t>Vues</w:t>
            </w:r>
          </w:p>
        </w:tc>
      </w:tr>
      <w:tr>
        <w:tc>
          <w:tcPr>
            <w:tcW w:type="dxa" w:w="6236"/>
            <w:tcBorders>
              <w:top w:val="single" w:sz="4" w:color="BFBFBF"/>
              <w:left w:val="nil"/>
              <w:bottom w:val="single" w:sz="4" w:color="BFBFBF"/>
              <w:right w:val="nil"/>
            </w:tcBorders>
          </w:tcPr>
          <w:p>
            <w:pPr>
              <w:spacing w:after="0" w:before="0"/>
            </w:pPr>
            <w:r/>
            <w:r>
              <w:rPr>
                <w:rFonts w:ascii="Calibri" w:hAnsi="Calibri"/>
                <w:sz w:val="19"/>
              </w:rPr>
              <w:t>Moteurs de recherche</w:t>
            </w:r>
          </w:p>
        </w:tc>
        <w:tc>
          <w:tcPr>
            <w:tcW w:type="dxa" w:w="2268"/>
            <w:tcBorders>
              <w:top w:val="single" w:sz="4" w:color="BFBFBF"/>
              <w:left w:val="nil"/>
              <w:bottom w:val="single" w:sz="4" w:color="BFBFBF"/>
              <w:right w:val="nil"/>
            </w:tcBorders>
          </w:tcPr>
          <w:p>
            <w:pPr>
              <w:spacing w:after="0" w:before="0"/>
              <w:jc w:val="right"/>
            </w:pPr>
            <w:r/>
            <w:r>
              <w:rPr>
                <w:rFonts w:ascii="Calibri" w:hAnsi="Calibri"/>
                <w:sz w:val="19"/>
              </w:rPr>
              <w:t>2 432</w:t>
            </w:r>
          </w:p>
        </w:tc>
      </w:tr>
      <w:tr>
        <w:tc>
          <w:tcPr>
            <w:tcW w:type="dxa" w:w="6236"/>
            <w:tcBorders>
              <w:top w:val="single" w:sz="4" w:color="BFBFBF"/>
              <w:left w:val="nil"/>
              <w:bottom w:val="single" w:sz="4" w:color="BFBFBF"/>
              <w:right w:val="nil"/>
            </w:tcBorders>
            <w:shd w:val="clear" w:color="auto" w:fill="F2F5FA"/>
          </w:tcPr>
          <w:p>
            <w:pPr>
              <w:spacing w:after="0" w:before="0"/>
            </w:pPr>
            <w:r/>
            <w:r>
              <w:rPr>
                <w:rFonts w:ascii="Calibri" w:hAnsi="Calibri"/>
                <w:sz w:val="19"/>
              </w:rPr>
              <w:t>Facebook</w:t>
            </w:r>
          </w:p>
        </w:tc>
        <w:tc>
          <w:tcPr>
            <w:tcW w:type="dxa" w:w="2268"/>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1 851</w:t>
            </w:r>
          </w:p>
        </w:tc>
      </w:tr>
      <w:tr>
        <w:tc>
          <w:tcPr>
            <w:tcW w:type="dxa" w:w="6236"/>
            <w:tcBorders>
              <w:top w:val="single" w:sz="4" w:color="BFBFBF"/>
              <w:left w:val="nil"/>
              <w:bottom w:val="single" w:sz="4" w:color="BFBFBF"/>
              <w:right w:val="nil"/>
            </w:tcBorders>
          </w:tcPr>
          <w:p>
            <w:pPr>
              <w:spacing w:after="0" w:before="0"/>
            </w:pPr>
            <w:r/>
            <w:r>
              <w:rPr>
                <w:rFonts w:ascii="Calibri" w:hAnsi="Calibri"/>
                <w:sz w:val="19"/>
              </w:rPr>
              <w:t>LinkedIn</w:t>
            </w:r>
          </w:p>
        </w:tc>
        <w:tc>
          <w:tcPr>
            <w:tcW w:type="dxa" w:w="2268"/>
            <w:tcBorders>
              <w:top w:val="single" w:sz="4" w:color="BFBFBF"/>
              <w:left w:val="nil"/>
              <w:bottom w:val="single" w:sz="4" w:color="BFBFBF"/>
              <w:right w:val="nil"/>
            </w:tcBorders>
          </w:tcPr>
          <w:p>
            <w:pPr>
              <w:spacing w:after="0" w:before="0"/>
              <w:jc w:val="right"/>
            </w:pPr>
            <w:r/>
            <w:r>
              <w:rPr>
                <w:rFonts w:ascii="Calibri" w:hAnsi="Calibri"/>
                <w:sz w:val="19"/>
              </w:rPr>
              <w:t>370</w:t>
            </w:r>
          </w:p>
        </w:tc>
      </w:tr>
      <w:tr>
        <w:tc>
          <w:tcPr>
            <w:tcW w:type="dxa" w:w="6236"/>
            <w:tcBorders>
              <w:top w:val="single" w:sz="4" w:color="BFBFBF"/>
              <w:left w:val="nil"/>
              <w:bottom w:val="single" w:sz="4" w:color="BFBFBF"/>
              <w:right w:val="nil"/>
            </w:tcBorders>
            <w:shd w:val="clear" w:color="auto" w:fill="F2F5FA"/>
          </w:tcPr>
          <w:p>
            <w:pPr>
              <w:spacing w:after="0" w:before="0"/>
            </w:pPr>
            <w:r/>
            <w:r>
              <w:rPr>
                <w:rFonts w:ascii="Calibri" w:hAnsi="Calibri"/>
                <w:sz w:val="19"/>
              </w:rPr>
              <w:t>Madagascar Tribune</w:t>
            </w:r>
          </w:p>
        </w:tc>
        <w:tc>
          <w:tcPr>
            <w:tcW w:type="dxa" w:w="2268"/>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204</w:t>
            </w:r>
          </w:p>
        </w:tc>
      </w:tr>
      <w:tr>
        <w:tc>
          <w:tcPr>
            <w:tcW w:type="dxa" w:w="6236"/>
            <w:tcBorders>
              <w:top w:val="single" w:sz="4" w:color="BFBFBF"/>
              <w:left w:val="nil"/>
              <w:bottom w:val="single" w:sz="4" w:color="BFBFBF"/>
              <w:right w:val="nil"/>
            </w:tcBorders>
          </w:tcPr>
          <w:p>
            <w:pPr>
              <w:spacing w:after="0" w:before="0"/>
            </w:pPr>
            <w:r/>
            <w:r>
              <w:rPr>
                <w:rFonts w:ascii="Calibri" w:hAnsi="Calibri"/>
                <w:sz w:val="19"/>
              </w:rPr>
              <w:t>Instagram</w:t>
            </w:r>
          </w:p>
        </w:tc>
        <w:tc>
          <w:tcPr>
            <w:tcW w:type="dxa" w:w="2268"/>
            <w:tcBorders>
              <w:top w:val="single" w:sz="4" w:color="BFBFBF"/>
              <w:left w:val="nil"/>
              <w:bottom w:val="single" w:sz="4" w:color="BFBFBF"/>
              <w:right w:val="nil"/>
            </w:tcBorders>
          </w:tcPr>
          <w:p>
            <w:pPr>
              <w:spacing w:after="0" w:before="0"/>
              <w:jc w:val="right"/>
            </w:pPr>
            <w:r/>
            <w:r>
              <w:rPr>
                <w:rFonts w:ascii="Calibri" w:hAnsi="Calibri"/>
                <w:sz w:val="19"/>
              </w:rPr>
              <w:t>83</w:t>
            </w:r>
          </w:p>
        </w:tc>
      </w:tr>
      <w:tr>
        <w:tc>
          <w:tcPr>
            <w:tcW w:type="dxa" w:w="6236"/>
            <w:tcBorders>
              <w:top w:val="single" w:sz="4" w:color="BFBFBF"/>
              <w:left w:val="nil"/>
              <w:bottom w:val="single" w:sz="4" w:color="BFBFBF"/>
              <w:right w:val="nil"/>
            </w:tcBorders>
            <w:shd w:val="clear" w:color="auto" w:fill="F2F5FA"/>
          </w:tcPr>
          <w:p>
            <w:pPr>
              <w:spacing w:after="0" w:before="0"/>
            </w:pPr>
            <w:r/>
            <w:r>
              <w:rPr>
                <w:rFonts w:ascii="Calibri" w:hAnsi="Calibri"/>
                <w:sz w:val="19"/>
              </w:rPr>
              <w:t>Actutana</w:t>
            </w:r>
          </w:p>
        </w:tc>
        <w:tc>
          <w:tcPr>
            <w:tcW w:type="dxa" w:w="2268"/>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51</w:t>
            </w:r>
          </w:p>
        </w:tc>
      </w:tr>
      <w:tr>
        <w:tc>
          <w:tcPr>
            <w:tcW w:type="dxa" w:w="6236"/>
            <w:tcBorders>
              <w:top w:val="single" w:sz="4" w:color="BFBFBF"/>
              <w:left w:val="nil"/>
              <w:bottom w:val="single" w:sz="4" w:color="BFBFBF"/>
              <w:right w:val="nil"/>
            </w:tcBorders>
          </w:tcPr>
          <w:p>
            <w:pPr>
              <w:spacing w:after="0" w:before="0"/>
            </w:pPr>
            <w:r/>
            <w:r>
              <w:rPr>
                <w:rFonts w:ascii="Calibri" w:hAnsi="Calibri"/>
                <w:sz w:val="19"/>
              </w:rPr>
              <w:t>Gmail</w:t>
            </w:r>
          </w:p>
        </w:tc>
        <w:tc>
          <w:tcPr>
            <w:tcW w:type="dxa" w:w="2268"/>
            <w:tcBorders>
              <w:top w:val="single" w:sz="4" w:color="BFBFBF"/>
              <w:left w:val="nil"/>
              <w:bottom w:val="single" w:sz="4" w:color="BFBFBF"/>
              <w:right w:val="nil"/>
            </w:tcBorders>
          </w:tcPr>
          <w:p>
            <w:pPr>
              <w:spacing w:after="0" w:before="0"/>
              <w:jc w:val="right"/>
            </w:pPr>
            <w:r/>
            <w:r>
              <w:rPr>
                <w:rFonts w:ascii="Calibri" w:hAnsi="Calibri"/>
                <w:sz w:val="19"/>
              </w:rPr>
              <w:t>48</w:t>
            </w:r>
          </w:p>
        </w:tc>
      </w:tr>
      <w:tr>
        <w:tc>
          <w:tcPr>
            <w:tcW w:type="dxa" w:w="6236"/>
            <w:tcBorders>
              <w:top w:val="single" w:sz="4" w:color="BFBFBF"/>
              <w:left w:val="nil"/>
              <w:bottom w:val="single" w:sz="4" w:color="BFBFBF"/>
              <w:right w:val="nil"/>
            </w:tcBorders>
            <w:shd w:val="clear" w:color="auto" w:fill="F2F5FA"/>
          </w:tcPr>
          <w:p>
            <w:pPr>
              <w:spacing w:after="0" w:before="0"/>
            </w:pPr>
            <w:r/>
            <w:r>
              <w:rPr>
                <w:rFonts w:ascii="Calibri" w:hAnsi="Calibri"/>
                <w:sz w:val="19"/>
              </w:rPr>
              <w:t>Substack</w:t>
            </w:r>
          </w:p>
        </w:tc>
        <w:tc>
          <w:tcPr>
            <w:tcW w:type="dxa" w:w="2268"/>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45</w:t>
            </w:r>
          </w:p>
        </w:tc>
      </w:tr>
      <w:tr>
        <w:tc>
          <w:tcPr>
            <w:tcW w:type="dxa" w:w="6236"/>
            <w:tcBorders>
              <w:top w:val="single" w:sz="4" w:color="BFBFBF"/>
              <w:left w:val="nil"/>
              <w:bottom w:val="single" w:sz="4" w:color="BFBFBF"/>
              <w:right w:val="nil"/>
            </w:tcBorders>
          </w:tcPr>
          <w:p>
            <w:pPr>
              <w:spacing w:after="0" w:before="0"/>
            </w:pPr>
            <w:r/>
            <w:r>
              <w:rPr>
                <w:rFonts w:ascii="Calibri" w:hAnsi="Calibri"/>
                <w:sz w:val="19"/>
              </w:rPr>
              <w:t>ChatGPT</w:t>
            </w:r>
          </w:p>
        </w:tc>
        <w:tc>
          <w:tcPr>
            <w:tcW w:type="dxa" w:w="2268"/>
            <w:tcBorders>
              <w:top w:val="single" w:sz="4" w:color="BFBFBF"/>
              <w:left w:val="nil"/>
              <w:bottom w:val="single" w:sz="4" w:color="BFBFBF"/>
              <w:right w:val="nil"/>
            </w:tcBorders>
          </w:tcPr>
          <w:p>
            <w:pPr>
              <w:spacing w:after="0" w:before="0"/>
              <w:jc w:val="right"/>
            </w:pPr>
            <w:r/>
            <w:r>
              <w:rPr>
                <w:rFonts w:ascii="Calibri" w:hAnsi="Calibri"/>
                <w:sz w:val="19"/>
              </w:rPr>
              <w:t>35</w:t>
            </w:r>
          </w:p>
        </w:tc>
      </w:tr>
    </w:tbl>
    <w:p>
      <w:pPr>
        <w:spacing w:after="240"/>
      </w:pPr>
      <w:r>
        <w:rPr>
          <w:i/>
          <w:color w:val="595959"/>
          <w:sz w:val="18"/>
        </w:rPr>
        <w:t>Depuis janvier 2025. Source : Jetpack. ChatGPT apparaît déjà comme source de trafic.</w:t>
      </w:r>
    </w:p>
    <w:p>
      <w:pPr>
        <w:pStyle w:val="Titre2"/>
        <w:spacing w:before="240" w:after="120"/>
      </w:pPr>
      <w:r>
        <w:t>Les 20 articles les plus lus</w:t>
      </w:r>
    </w:p>
    <w:tbl>
      <w:tblPr>
        <w:jc w:val="center"/>
        <w:tblLook w:firstColumn="1" w:firstRow="1" w:lastColumn="0" w:lastRow="0" w:noHBand="0" w:noVBand="1" w:val="04A0"/>
        <w:tblW w:w="8617" w:type="dxa"/>
        <w:tblLayout w:type="fixed"/>
      </w:tblPr>
      <w:tblGrid>
        <w:gridCol w:w="453"/>
        <w:gridCol w:w="6010"/>
        <w:gridCol w:w="1247"/>
        <w:gridCol w:w="907"/>
      </w:tblGrid>
      <w:tr>
        <w:trPr>
          <w:tblHeader w:val="true"/>
        </w:trPr>
        <w:tc>
          <w:tcPr>
            <w:tcW w:type="dxa" w:w="454"/>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w:t>
            </w:r>
          </w:p>
        </w:tc>
        <w:tc>
          <w:tcPr>
            <w:tcW w:type="dxa" w:w="6009"/>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Article</w:t>
            </w:r>
          </w:p>
        </w:tc>
        <w:tc>
          <w:tcPr>
            <w:tcW w:type="dxa" w:w="1247"/>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Publié</w:t>
            </w:r>
          </w:p>
        </w:tc>
        <w:tc>
          <w:tcPr>
            <w:tcW w:type="dxa" w:w="907"/>
            <w:shd w:val="clear" w:color="auto" w:fill="2F5496"/>
            <w:tcBorders>
              <w:top w:val="single" w:sz="4" w:color="2F5496"/>
              <w:left w:val="nil"/>
              <w:bottom w:val="single" w:sz="4" w:color="2F5496"/>
              <w:right w:val="nil"/>
            </w:tcBorders>
          </w:tcPr>
          <w:p>
            <w:pPr>
              <w:spacing w:after="0" w:before="0"/>
              <w:jc w:val="right"/>
            </w:pPr>
            <w:r/>
            <w:r>
              <w:rPr>
                <w:rFonts w:ascii="Calibri" w:hAnsi="Calibri"/>
                <w:b/>
                <w:color w:val="FFFFFF"/>
                <w:sz w:val="19"/>
              </w:rPr>
              <w:t>Vues</w:t>
            </w:r>
          </w:p>
        </w:tc>
      </w:tr>
      <w:tr>
        <w:tc>
          <w:tcPr>
            <w:tcW w:type="dxa" w:w="454"/>
            <w:tcBorders>
              <w:top w:val="single" w:sz="4" w:color="BFBFBF"/>
              <w:left w:val="nil"/>
              <w:bottom w:val="single" w:sz="4" w:color="BFBFBF"/>
              <w:right w:val="nil"/>
            </w:tcBorders>
          </w:tcPr>
          <w:p>
            <w:pPr>
              <w:spacing w:after="0" w:before="0"/>
            </w:pPr>
            <w:r/>
            <w:r>
              <w:rPr>
                <w:rFonts w:ascii="Calibri" w:hAnsi="Calibri"/>
                <w:sz w:val="19"/>
              </w:rPr>
              <w:t>1</w:t>
            </w:r>
          </w:p>
        </w:tc>
        <w:tc>
          <w:tcPr>
            <w:tcW w:type="dxa" w:w="6009"/>
            <w:tcBorders>
              <w:top w:val="single" w:sz="4" w:color="BFBFBF"/>
              <w:left w:val="nil"/>
              <w:bottom w:val="single" w:sz="4" w:color="BFBFBF"/>
              <w:right w:val="nil"/>
            </w:tcBorders>
          </w:tcPr>
          <w:p>
            <w:pPr>
              <w:spacing w:after="0" w:before="0"/>
            </w:pPr>
            <w:r/>
            <w:r>
              <w:rPr>
                <w:rFonts w:ascii="Calibri" w:hAnsi="Calibri"/>
                <w:sz w:val="19"/>
              </w:rPr>
              <w:t>Crise de la vanille à Madagascar : impacts et préconisations</w:t>
            </w:r>
          </w:p>
        </w:tc>
        <w:tc>
          <w:tcPr>
            <w:tcW w:type="dxa" w:w="1247"/>
            <w:tcBorders>
              <w:top w:val="single" w:sz="4" w:color="BFBFBF"/>
              <w:left w:val="nil"/>
              <w:bottom w:val="single" w:sz="4" w:color="BFBFBF"/>
              <w:right w:val="nil"/>
            </w:tcBorders>
          </w:tcPr>
          <w:p>
            <w:pPr>
              <w:spacing w:after="0" w:before="0"/>
            </w:pPr>
            <w:r/>
            <w:r>
              <w:rPr>
                <w:rFonts w:ascii="Calibri" w:hAnsi="Calibri"/>
                <w:sz w:val="19"/>
              </w:rPr>
              <w:t>avr. 2025</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320</w:t>
            </w:r>
          </w:p>
        </w:tc>
      </w:tr>
      <w:tr>
        <w:tc>
          <w:tcPr>
            <w:tcW w:type="dxa" w:w="454"/>
            <w:tcBorders>
              <w:top w:val="single" w:sz="4" w:color="BFBFBF"/>
              <w:left w:val="nil"/>
              <w:bottom w:val="single" w:sz="4" w:color="BFBFBF"/>
              <w:right w:val="nil"/>
            </w:tcBorders>
            <w:shd w:val="clear" w:color="auto" w:fill="F2F5FA"/>
          </w:tcPr>
          <w:p>
            <w:pPr>
              <w:spacing w:after="0" w:before="0"/>
            </w:pPr>
            <w:r/>
            <w:r>
              <w:rPr>
                <w:rFonts w:ascii="Calibri" w:hAnsi="Calibri"/>
                <w:sz w:val="19"/>
              </w:rPr>
              <w:t>2</w:t>
            </w:r>
          </w:p>
        </w:tc>
        <w:tc>
          <w:tcPr>
            <w:tcW w:type="dxa" w:w="6009"/>
            <w:tcBorders>
              <w:top w:val="single" w:sz="4" w:color="BFBFBF"/>
              <w:left w:val="nil"/>
              <w:bottom w:val="single" w:sz="4" w:color="BFBFBF"/>
              <w:right w:val="nil"/>
            </w:tcBorders>
            <w:shd w:val="clear" w:color="auto" w:fill="F2F5FA"/>
          </w:tcPr>
          <w:p>
            <w:pPr>
              <w:spacing w:after="0" w:before="0"/>
            </w:pPr>
            <w:r/>
            <w:r>
              <w:rPr>
                <w:rFonts w:ascii="Calibri" w:hAnsi="Calibri"/>
                <w:sz w:val="19"/>
              </w:rPr>
              <w:t>Îles Éparses : entre diplomatie de façade et grandes manœuvres géostratégiques</w:t>
            </w:r>
          </w:p>
        </w:tc>
        <w:tc>
          <w:tcPr>
            <w:tcW w:type="dxa" w:w="1247"/>
            <w:tcBorders>
              <w:top w:val="single" w:sz="4" w:color="BFBFBF"/>
              <w:left w:val="nil"/>
              <w:bottom w:val="single" w:sz="4" w:color="BFBFBF"/>
              <w:right w:val="nil"/>
            </w:tcBorders>
            <w:shd w:val="clear" w:color="auto" w:fill="F2F5FA"/>
          </w:tcPr>
          <w:p>
            <w:pPr>
              <w:spacing w:after="0" w:before="0"/>
            </w:pPr>
            <w:r/>
            <w:r>
              <w:rPr>
                <w:rFonts w:ascii="Calibri" w:hAnsi="Calibri"/>
                <w:sz w:val="19"/>
              </w:rPr>
              <w:t>mai 2025</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268</w:t>
            </w:r>
          </w:p>
        </w:tc>
      </w:tr>
      <w:tr>
        <w:tc>
          <w:tcPr>
            <w:tcW w:type="dxa" w:w="454"/>
            <w:tcBorders>
              <w:top w:val="single" w:sz="4" w:color="BFBFBF"/>
              <w:left w:val="nil"/>
              <w:bottom w:val="single" w:sz="4" w:color="BFBFBF"/>
              <w:right w:val="nil"/>
            </w:tcBorders>
          </w:tcPr>
          <w:p>
            <w:pPr>
              <w:spacing w:after="0" w:before="0"/>
            </w:pPr>
            <w:r/>
            <w:r>
              <w:rPr>
                <w:rFonts w:ascii="Calibri" w:hAnsi="Calibri"/>
                <w:sz w:val="19"/>
              </w:rPr>
              <w:t>3</w:t>
            </w:r>
          </w:p>
        </w:tc>
        <w:tc>
          <w:tcPr>
            <w:tcW w:type="dxa" w:w="6009"/>
            <w:tcBorders>
              <w:top w:val="single" w:sz="4" w:color="BFBFBF"/>
              <w:left w:val="nil"/>
              <w:bottom w:val="single" w:sz="4" w:color="BFBFBF"/>
              <w:right w:val="nil"/>
            </w:tcBorders>
          </w:tcPr>
          <w:p>
            <w:pPr>
              <w:spacing w:after="0" w:before="0"/>
            </w:pPr>
            <w:r/>
            <w:r>
              <w:rPr>
                <w:rFonts w:ascii="Calibri" w:hAnsi="Calibri"/>
                <w:sz w:val="19"/>
              </w:rPr>
              <w:t>Énergie à Madagascar : le mirage du redressement et la mécanique de la dépendance</w:t>
            </w:r>
          </w:p>
        </w:tc>
        <w:tc>
          <w:tcPr>
            <w:tcW w:type="dxa" w:w="1247"/>
            <w:tcBorders>
              <w:top w:val="single" w:sz="4" w:color="BFBFBF"/>
              <w:left w:val="nil"/>
              <w:bottom w:val="single" w:sz="4" w:color="BFBFBF"/>
              <w:right w:val="nil"/>
            </w:tcBorders>
          </w:tcPr>
          <w:p>
            <w:pPr>
              <w:spacing w:after="0" w:before="0"/>
            </w:pPr>
            <w:r/>
            <w:r>
              <w:rPr>
                <w:rFonts w:ascii="Calibri" w:hAnsi="Calibri"/>
                <w:sz w:val="19"/>
              </w:rPr>
              <w:t>juil. 2025</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241</w:t>
            </w:r>
          </w:p>
        </w:tc>
      </w:tr>
      <w:tr>
        <w:tc>
          <w:tcPr>
            <w:tcW w:type="dxa" w:w="454"/>
            <w:tcBorders>
              <w:top w:val="single" w:sz="4" w:color="BFBFBF"/>
              <w:left w:val="nil"/>
              <w:bottom w:val="single" w:sz="4" w:color="BFBFBF"/>
              <w:right w:val="nil"/>
            </w:tcBorders>
            <w:shd w:val="clear" w:color="auto" w:fill="F2F5FA"/>
          </w:tcPr>
          <w:p>
            <w:pPr>
              <w:spacing w:after="0" w:before="0"/>
            </w:pPr>
            <w:r/>
            <w:r>
              <w:rPr>
                <w:rFonts w:ascii="Calibri" w:hAnsi="Calibri"/>
                <w:sz w:val="19"/>
              </w:rPr>
              <w:t>4</w:t>
            </w:r>
          </w:p>
        </w:tc>
        <w:tc>
          <w:tcPr>
            <w:tcW w:type="dxa" w:w="6009"/>
            <w:tcBorders>
              <w:top w:val="single" w:sz="4" w:color="BFBFBF"/>
              <w:left w:val="nil"/>
              <w:bottom w:val="single" w:sz="4" w:color="BFBFBF"/>
              <w:right w:val="nil"/>
            </w:tcBorders>
            <w:shd w:val="clear" w:color="auto" w:fill="F2F5FA"/>
          </w:tcPr>
          <w:p>
            <w:pPr>
              <w:spacing w:after="0" w:before="0"/>
            </w:pPr>
            <w:r/>
            <w:r>
              <w:rPr>
                <w:rFonts w:ascii="Calibri" w:hAnsi="Calibri"/>
                <w:sz w:val="19"/>
              </w:rPr>
              <w:t>Le syndrome de Stockholm malgache</w:t>
            </w:r>
          </w:p>
        </w:tc>
        <w:tc>
          <w:tcPr>
            <w:tcW w:type="dxa" w:w="1247"/>
            <w:tcBorders>
              <w:top w:val="single" w:sz="4" w:color="BFBFBF"/>
              <w:left w:val="nil"/>
              <w:bottom w:val="single" w:sz="4" w:color="BFBFBF"/>
              <w:right w:val="nil"/>
            </w:tcBorders>
            <w:shd w:val="clear" w:color="auto" w:fill="F2F5FA"/>
          </w:tcPr>
          <w:p>
            <w:pPr>
              <w:spacing w:after="0" w:before="0"/>
            </w:pPr>
            <w:r/>
            <w:r>
              <w:rPr>
                <w:rFonts w:ascii="Calibri" w:hAnsi="Calibri"/>
                <w:sz w:val="19"/>
              </w:rPr>
              <w:t>mai 2026</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234</w:t>
            </w:r>
          </w:p>
        </w:tc>
      </w:tr>
      <w:tr>
        <w:tc>
          <w:tcPr>
            <w:tcW w:type="dxa" w:w="454"/>
            <w:tcBorders>
              <w:top w:val="single" w:sz="4" w:color="BFBFBF"/>
              <w:left w:val="nil"/>
              <w:bottom w:val="single" w:sz="4" w:color="BFBFBF"/>
              <w:right w:val="nil"/>
            </w:tcBorders>
          </w:tcPr>
          <w:p>
            <w:pPr>
              <w:spacing w:after="0" w:before="0"/>
            </w:pPr>
            <w:r/>
            <w:r>
              <w:rPr>
                <w:rFonts w:ascii="Calibri" w:hAnsi="Calibri"/>
                <w:sz w:val="19"/>
              </w:rPr>
              <w:t>5</w:t>
            </w:r>
          </w:p>
        </w:tc>
        <w:tc>
          <w:tcPr>
            <w:tcW w:type="dxa" w:w="6009"/>
            <w:tcBorders>
              <w:top w:val="single" w:sz="4" w:color="BFBFBF"/>
              <w:left w:val="nil"/>
              <w:bottom w:val="single" w:sz="4" w:color="BFBFBF"/>
              <w:right w:val="nil"/>
            </w:tcBorders>
          </w:tcPr>
          <w:p>
            <w:pPr>
              <w:spacing w:after="0" w:before="0"/>
            </w:pPr>
            <w:r/>
            <w:r>
              <w:rPr>
                <w:rFonts w:ascii="Calibri" w:hAnsi="Calibri"/>
                <w:sz w:val="19"/>
              </w:rPr>
              <w:t>Cartographie économique des communautés : une Nation, des visages</w:t>
            </w:r>
          </w:p>
        </w:tc>
        <w:tc>
          <w:tcPr>
            <w:tcW w:type="dxa" w:w="1247"/>
            <w:tcBorders>
              <w:top w:val="single" w:sz="4" w:color="BFBFBF"/>
              <w:left w:val="nil"/>
              <w:bottom w:val="single" w:sz="4" w:color="BFBFBF"/>
              <w:right w:val="nil"/>
            </w:tcBorders>
          </w:tcPr>
          <w:p>
            <w:pPr>
              <w:spacing w:after="0" w:before="0"/>
            </w:pPr>
            <w:r/>
            <w:r>
              <w:rPr>
                <w:rFonts w:ascii="Calibri" w:hAnsi="Calibri"/>
                <w:sz w:val="19"/>
              </w:rPr>
              <w:t>mai 2025</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215</w:t>
            </w:r>
          </w:p>
        </w:tc>
      </w:tr>
      <w:tr>
        <w:tc>
          <w:tcPr>
            <w:tcW w:type="dxa" w:w="454"/>
            <w:tcBorders>
              <w:top w:val="single" w:sz="4" w:color="BFBFBF"/>
              <w:left w:val="nil"/>
              <w:bottom w:val="single" w:sz="4" w:color="BFBFBF"/>
              <w:right w:val="nil"/>
            </w:tcBorders>
            <w:shd w:val="clear" w:color="auto" w:fill="F2F5FA"/>
          </w:tcPr>
          <w:p>
            <w:pPr>
              <w:spacing w:after="0" w:before="0"/>
            </w:pPr>
            <w:r/>
            <w:r>
              <w:rPr>
                <w:rFonts w:ascii="Calibri" w:hAnsi="Calibri"/>
                <w:sz w:val="19"/>
              </w:rPr>
              <w:t>6</w:t>
            </w:r>
          </w:p>
        </w:tc>
        <w:tc>
          <w:tcPr>
            <w:tcW w:type="dxa" w:w="6009"/>
            <w:tcBorders>
              <w:top w:val="single" w:sz="4" w:color="BFBFBF"/>
              <w:left w:val="nil"/>
              <w:bottom w:val="single" w:sz="4" w:color="BFBFBF"/>
              <w:right w:val="nil"/>
            </w:tcBorders>
            <w:shd w:val="clear" w:color="auto" w:fill="F2F5FA"/>
          </w:tcPr>
          <w:p>
            <w:pPr>
              <w:spacing w:after="0" w:before="0"/>
            </w:pPr>
            <w:r/>
            <w:r>
              <w:rPr>
                <w:rFonts w:ascii="Calibri" w:hAnsi="Calibri"/>
                <w:sz w:val="19"/>
              </w:rPr>
              <w:t>Madagascar au point de bascule du mouvement générationnel</w:t>
            </w:r>
          </w:p>
        </w:tc>
        <w:tc>
          <w:tcPr>
            <w:tcW w:type="dxa" w:w="1247"/>
            <w:tcBorders>
              <w:top w:val="single" w:sz="4" w:color="BFBFBF"/>
              <w:left w:val="nil"/>
              <w:bottom w:val="single" w:sz="4" w:color="BFBFBF"/>
              <w:right w:val="nil"/>
            </w:tcBorders>
            <w:shd w:val="clear" w:color="auto" w:fill="F2F5FA"/>
          </w:tcPr>
          <w:p>
            <w:pPr>
              <w:spacing w:after="0" w:before="0"/>
            </w:pPr>
            <w:r/>
            <w:r>
              <w:rPr>
                <w:rFonts w:ascii="Calibri" w:hAnsi="Calibri"/>
                <w:sz w:val="19"/>
              </w:rPr>
              <w:t>oct. 2025</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209</w:t>
            </w:r>
          </w:p>
        </w:tc>
      </w:tr>
      <w:tr>
        <w:tc>
          <w:tcPr>
            <w:tcW w:type="dxa" w:w="454"/>
            <w:tcBorders>
              <w:top w:val="single" w:sz="4" w:color="BFBFBF"/>
              <w:left w:val="nil"/>
              <w:bottom w:val="single" w:sz="4" w:color="BFBFBF"/>
              <w:right w:val="nil"/>
            </w:tcBorders>
          </w:tcPr>
          <w:p>
            <w:pPr>
              <w:spacing w:after="0" w:before="0"/>
            </w:pPr>
            <w:r/>
            <w:r>
              <w:rPr>
                <w:rFonts w:ascii="Calibri" w:hAnsi="Calibri"/>
                <w:sz w:val="19"/>
              </w:rPr>
              <w:t>7</w:t>
            </w:r>
          </w:p>
        </w:tc>
        <w:tc>
          <w:tcPr>
            <w:tcW w:type="dxa" w:w="6009"/>
            <w:tcBorders>
              <w:top w:val="single" w:sz="4" w:color="BFBFBF"/>
              <w:left w:val="nil"/>
              <w:bottom w:val="single" w:sz="4" w:color="BFBFBF"/>
              <w:right w:val="nil"/>
            </w:tcBorders>
          </w:tcPr>
          <w:p>
            <w:pPr>
              <w:spacing w:after="0" w:before="0"/>
            </w:pPr>
            <w:r/>
            <w:r>
              <w:rPr>
                <w:rFonts w:ascii="Calibri" w:hAnsi="Calibri"/>
                <w:sz w:val="19"/>
              </w:rPr>
              <w:t>Madagascar, puissance discrète de la mondialisation</w:t>
            </w:r>
          </w:p>
        </w:tc>
        <w:tc>
          <w:tcPr>
            <w:tcW w:type="dxa" w:w="1247"/>
            <w:tcBorders>
              <w:top w:val="single" w:sz="4" w:color="BFBFBF"/>
              <w:left w:val="nil"/>
              <w:bottom w:val="single" w:sz="4" w:color="BFBFBF"/>
              <w:right w:val="nil"/>
            </w:tcBorders>
          </w:tcPr>
          <w:p>
            <w:pPr>
              <w:spacing w:after="0" w:before="0"/>
            </w:pPr>
            <w:r/>
            <w:r>
              <w:rPr>
                <w:rFonts w:ascii="Calibri" w:hAnsi="Calibri"/>
                <w:sz w:val="19"/>
              </w:rPr>
              <w:t>avr. 2025</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202</w:t>
            </w:r>
          </w:p>
        </w:tc>
      </w:tr>
      <w:tr>
        <w:tc>
          <w:tcPr>
            <w:tcW w:type="dxa" w:w="454"/>
            <w:tcBorders>
              <w:top w:val="single" w:sz="4" w:color="BFBFBF"/>
              <w:left w:val="nil"/>
              <w:bottom w:val="single" w:sz="4" w:color="BFBFBF"/>
              <w:right w:val="nil"/>
            </w:tcBorders>
            <w:shd w:val="clear" w:color="auto" w:fill="F2F5FA"/>
          </w:tcPr>
          <w:p>
            <w:pPr>
              <w:spacing w:after="0" w:before="0"/>
            </w:pPr>
            <w:r/>
            <w:r>
              <w:rPr>
                <w:rFonts w:ascii="Calibri" w:hAnsi="Calibri"/>
                <w:sz w:val="19"/>
              </w:rPr>
              <w:t>8</w:t>
            </w:r>
          </w:p>
        </w:tc>
        <w:tc>
          <w:tcPr>
            <w:tcW w:type="dxa" w:w="6009"/>
            <w:tcBorders>
              <w:top w:val="single" w:sz="4" w:color="BFBFBF"/>
              <w:left w:val="nil"/>
              <w:bottom w:val="single" w:sz="4" w:color="BFBFBF"/>
              <w:right w:val="nil"/>
            </w:tcBorders>
            <w:shd w:val="clear" w:color="auto" w:fill="F2F5FA"/>
          </w:tcPr>
          <w:p>
            <w:pPr>
              <w:spacing w:after="0" w:before="0"/>
            </w:pPr>
            <w:r/>
            <w:r>
              <w:rPr>
                <w:rFonts w:ascii="Calibri" w:hAnsi="Calibri"/>
                <w:sz w:val="19"/>
              </w:rPr>
              <w:t>L'iceberg inversé : ce que le monde voit, ce que le Malgache ignore</w:t>
            </w:r>
          </w:p>
        </w:tc>
        <w:tc>
          <w:tcPr>
            <w:tcW w:type="dxa" w:w="1247"/>
            <w:tcBorders>
              <w:top w:val="single" w:sz="4" w:color="BFBFBF"/>
              <w:left w:val="nil"/>
              <w:bottom w:val="single" w:sz="4" w:color="BFBFBF"/>
              <w:right w:val="nil"/>
            </w:tcBorders>
            <w:shd w:val="clear" w:color="auto" w:fill="F2F5FA"/>
          </w:tcPr>
          <w:p>
            <w:pPr>
              <w:spacing w:after="0" w:before="0"/>
            </w:pPr>
            <w:r/>
            <w:r>
              <w:rPr>
                <w:rFonts w:ascii="Calibri" w:hAnsi="Calibri"/>
                <w:sz w:val="19"/>
              </w:rPr>
              <w:t>mai 2025</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176</w:t>
            </w:r>
          </w:p>
        </w:tc>
      </w:tr>
      <w:tr>
        <w:tc>
          <w:tcPr>
            <w:tcW w:type="dxa" w:w="454"/>
            <w:tcBorders>
              <w:top w:val="single" w:sz="4" w:color="BFBFBF"/>
              <w:left w:val="nil"/>
              <w:bottom w:val="single" w:sz="4" w:color="BFBFBF"/>
              <w:right w:val="nil"/>
            </w:tcBorders>
          </w:tcPr>
          <w:p>
            <w:pPr>
              <w:spacing w:after="0" w:before="0"/>
            </w:pPr>
            <w:r/>
            <w:r>
              <w:rPr>
                <w:rFonts w:ascii="Calibri" w:hAnsi="Calibri"/>
                <w:sz w:val="19"/>
              </w:rPr>
              <w:t>9</w:t>
            </w:r>
          </w:p>
        </w:tc>
        <w:tc>
          <w:tcPr>
            <w:tcW w:type="dxa" w:w="6009"/>
            <w:tcBorders>
              <w:top w:val="single" w:sz="4" w:color="BFBFBF"/>
              <w:left w:val="nil"/>
              <w:bottom w:val="single" w:sz="4" w:color="BFBFBF"/>
              <w:right w:val="nil"/>
            </w:tcBorders>
          </w:tcPr>
          <w:p>
            <w:pPr>
              <w:spacing w:after="0" w:before="0"/>
            </w:pPr>
            <w:r/>
            <w:r>
              <w:rPr>
                <w:rFonts w:ascii="Calibri" w:hAnsi="Calibri"/>
                <w:sz w:val="19"/>
              </w:rPr>
              <w:t>Le réveil d'une génération : de la colère vitale à l'ambition</w:t>
            </w:r>
          </w:p>
        </w:tc>
        <w:tc>
          <w:tcPr>
            <w:tcW w:type="dxa" w:w="1247"/>
            <w:tcBorders>
              <w:top w:val="single" w:sz="4" w:color="BFBFBF"/>
              <w:left w:val="nil"/>
              <w:bottom w:val="single" w:sz="4" w:color="BFBFBF"/>
              <w:right w:val="nil"/>
            </w:tcBorders>
          </w:tcPr>
          <w:p>
            <w:pPr>
              <w:spacing w:after="0" w:before="0"/>
            </w:pPr>
            <w:r/>
            <w:r>
              <w:rPr>
                <w:rFonts w:ascii="Calibri" w:hAnsi="Calibri"/>
                <w:sz w:val="19"/>
              </w:rPr>
              <w:t>sept. 2025</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167</w:t>
            </w:r>
          </w:p>
        </w:tc>
      </w:tr>
      <w:tr>
        <w:tc>
          <w:tcPr>
            <w:tcW w:type="dxa" w:w="454"/>
            <w:tcBorders>
              <w:top w:val="single" w:sz="4" w:color="BFBFBF"/>
              <w:left w:val="nil"/>
              <w:bottom w:val="single" w:sz="4" w:color="BFBFBF"/>
              <w:right w:val="nil"/>
            </w:tcBorders>
            <w:shd w:val="clear" w:color="auto" w:fill="F2F5FA"/>
          </w:tcPr>
          <w:p>
            <w:pPr>
              <w:spacing w:after="0" w:before="0"/>
            </w:pPr>
            <w:r/>
            <w:r>
              <w:rPr>
                <w:rFonts w:ascii="Calibri" w:hAnsi="Calibri"/>
                <w:sz w:val="19"/>
              </w:rPr>
              <w:t>10</w:t>
            </w:r>
          </w:p>
        </w:tc>
        <w:tc>
          <w:tcPr>
            <w:tcW w:type="dxa" w:w="6009"/>
            <w:tcBorders>
              <w:top w:val="single" w:sz="4" w:color="BFBFBF"/>
              <w:left w:val="nil"/>
              <w:bottom w:val="single" w:sz="4" w:color="BFBFBF"/>
              <w:right w:val="nil"/>
            </w:tcBorders>
            <w:shd w:val="clear" w:color="auto" w:fill="F2F5FA"/>
          </w:tcPr>
          <w:p>
            <w:pPr>
              <w:spacing w:after="0" w:before="0"/>
            </w:pPr>
            <w:r/>
            <w:r>
              <w:rPr>
                <w:rFonts w:ascii="Calibri" w:hAnsi="Calibri"/>
                <w:sz w:val="19"/>
              </w:rPr>
              <w:t>La Refondation : premier bilan et perspectives</w:t>
            </w:r>
          </w:p>
        </w:tc>
        <w:tc>
          <w:tcPr>
            <w:tcW w:type="dxa" w:w="1247"/>
            <w:tcBorders>
              <w:top w:val="single" w:sz="4" w:color="BFBFBF"/>
              <w:left w:val="nil"/>
              <w:bottom w:val="single" w:sz="4" w:color="BFBFBF"/>
              <w:right w:val="nil"/>
            </w:tcBorders>
            <w:shd w:val="clear" w:color="auto" w:fill="F2F5FA"/>
          </w:tcPr>
          <w:p>
            <w:pPr>
              <w:spacing w:after="0" w:before="0"/>
            </w:pPr>
            <w:r/>
            <w:r>
              <w:rPr>
                <w:rFonts w:ascii="Calibri" w:hAnsi="Calibri"/>
                <w:sz w:val="19"/>
              </w:rPr>
              <w:t>mars 2026</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166</w:t>
            </w:r>
          </w:p>
        </w:tc>
      </w:tr>
      <w:tr>
        <w:tc>
          <w:tcPr>
            <w:tcW w:type="dxa" w:w="454"/>
            <w:tcBorders>
              <w:top w:val="single" w:sz="4" w:color="BFBFBF"/>
              <w:left w:val="nil"/>
              <w:bottom w:val="single" w:sz="4" w:color="BFBFBF"/>
              <w:right w:val="nil"/>
            </w:tcBorders>
          </w:tcPr>
          <w:p>
            <w:pPr>
              <w:spacing w:after="0" w:before="0"/>
            </w:pPr>
            <w:r/>
            <w:r>
              <w:rPr>
                <w:rFonts w:ascii="Calibri" w:hAnsi="Calibri"/>
                <w:sz w:val="19"/>
              </w:rPr>
              <w:t>11</w:t>
            </w:r>
          </w:p>
        </w:tc>
        <w:tc>
          <w:tcPr>
            <w:tcW w:type="dxa" w:w="6009"/>
            <w:tcBorders>
              <w:top w:val="single" w:sz="4" w:color="BFBFBF"/>
              <w:left w:val="nil"/>
              <w:bottom w:val="single" w:sz="4" w:color="BFBFBF"/>
              <w:right w:val="nil"/>
            </w:tcBorders>
          </w:tcPr>
          <w:p>
            <w:pPr>
              <w:spacing w:after="0" w:before="0"/>
            </w:pPr>
            <w:r/>
            <w:r>
              <w:rPr>
                <w:rFonts w:ascii="Calibri" w:hAnsi="Calibri"/>
                <w:sz w:val="19"/>
              </w:rPr>
              <w:t>Le piège Népal : sous la vague Génération Z, la recomposition</w:t>
            </w:r>
          </w:p>
        </w:tc>
        <w:tc>
          <w:tcPr>
            <w:tcW w:type="dxa" w:w="1247"/>
            <w:tcBorders>
              <w:top w:val="single" w:sz="4" w:color="BFBFBF"/>
              <w:left w:val="nil"/>
              <w:bottom w:val="single" w:sz="4" w:color="BFBFBF"/>
              <w:right w:val="nil"/>
            </w:tcBorders>
          </w:tcPr>
          <w:p>
            <w:pPr>
              <w:spacing w:after="0" w:before="0"/>
            </w:pPr>
            <w:r/>
            <w:r>
              <w:rPr>
                <w:rFonts w:ascii="Calibri" w:hAnsi="Calibri"/>
                <w:sz w:val="19"/>
              </w:rPr>
              <w:t>oct. 2025</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165</w:t>
            </w:r>
          </w:p>
        </w:tc>
      </w:tr>
      <w:tr>
        <w:tc>
          <w:tcPr>
            <w:tcW w:type="dxa" w:w="454"/>
            <w:tcBorders>
              <w:top w:val="single" w:sz="4" w:color="BFBFBF"/>
              <w:left w:val="nil"/>
              <w:bottom w:val="single" w:sz="4" w:color="BFBFBF"/>
              <w:right w:val="nil"/>
            </w:tcBorders>
            <w:shd w:val="clear" w:color="auto" w:fill="F2F5FA"/>
          </w:tcPr>
          <w:p>
            <w:pPr>
              <w:spacing w:after="0" w:before="0"/>
            </w:pPr>
            <w:r/>
            <w:r>
              <w:rPr>
                <w:rFonts w:ascii="Calibri" w:hAnsi="Calibri"/>
                <w:sz w:val="19"/>
              </w:rPr>
              <w:t>12</w:t>
            </w:r>
          </w:p>
        </w:tc>
        <w:tc>
          <w:tcPr>
            <w:tcW w:type="dxa" w:w="6009"/>
            <w:tcBorders>
              <w:top w:val="single" w:sz="4" w:color="BFBFBF"/>
              <w:left w:val="nil"/>
              <w:bottom w:val="single" w:sz="4" w:color="BFBFBF"/>
              <w:right w:val="nil"/>
            </w:tcBorders>
            <w:shd w:val="clear" w:color="auto" w:fill="F2F5FA"/>
          </w:tcPr>
          <w:p>
            <w:pPr>
              <w:spacing w:after="0" w:before="0"/>
            </w:pPr>
            <w:r/>
            <w:r>
              <w:rPr>
                <w:rFonts w:ascii="Calibri" w:hAnsi="Calibri"/>
                <w:sz w:val="19"/>
              </w:rPr>
              <w:t>Lecture froide de la Refondation</w:t>
            </w:r>
          </w:p>
        </w:tc>
        <w:tc>
          <w:tcPr>
            <w:tcW w:type="dxa" w:w="1247"/>
            <w:tcBorders>
              <w:top w:val="single" w:sz="4" w:color="BFBFBF"/>
              <w:left w:val="nil"/>
              <w:bottom w:val="single" w:sz="4" w:color="BFBFBF"/>
              <w:right w:val="nil"/>
            </w:tcBorders>
            <w:shd w:val="clear" w:color="auto" w:fill="F2F5FA"/>
          </w:tcPr>
          <w:p>
            <w:pPr>
              <w:spacing w:after="0" w:before="0"/>
            </w:pPr>
            <w:r/>
            <w:r>
              <w:rPr>
                <w:rFonts w:ascii="Calibri" w:hAnsi="Calibri"/>
                <w:sz w:val="19"/>
              </w:rPr>
              <w:t>nov. 2025</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158</w:t>
            </w:r>
          </w:p>
        </w:tc>
      </w:tr>
      <w:tr>
        <w:tc>
          <w:tcPr>
            <w:tcW w:type="dxa" w:w="454"/>
            <w:tcBorders>
              <w:top w:val="single" w:sz="4" w:color="BFBFBF"/>
              <w:left w:val="nil"/>
              <w:bottom w:val="single" w:sz="4" w:color="BFBFBF"/>
              <w:right w:val="nil"/>
            </w:tcBorders>
          </w:tcPr>
          <w:p>
            <w:pPr>
              <w:spacing w:after="0" w:before="0"/>
            </w:pPr>
            <w:r/>
            <w:r>
              <w:rPr>
                <w:rFonts w:ascii="Calibri" w:hAnsi="Calibri"/>
                <w:sz w:val="19"/>
              </w:rPr>
              <w:t>13</w:t>
            </w:r>
          </w:p>
        </w:tc>
        <w:tc>
          <w:tcPr>
            <w:tcW w:type="dxa" w:w="6009"/>
            <w:tcBorders>
              <w:top w:val="single" w:sz="4" w:color="BFBFBF"/>
              <w:left w:val="nil"/>
              <w:bottom w:val="single" w:sz="4" w:color="BFBFBF"/>
              <w:right w:val="nil"/>
            </w:tcBorders>
          </w:tcPr>
          <w:p>
            <w:pPr>
              <w:spacing w:after="0" w:before="0"/>
            </w:pPr>
            <w:r/>
            <w:r>
              <w:rPr>
                <w:rFonts w:ascii="Calibri" w:hAnsi="Calibri"/>
                <w:sz w:val="19"/>
              </w:rPr>
              <w:t>Les 100 jours du PRRM</w:t>
            </w:r>
          </w:p>
        </w:tc>
        <w:tc>
          <w:tcPr>
            <w:tcW w:type="dxa" w:w="1247"/>
            <w:tcBorders>
              <w:top w:val="single" w:sz="4" w:color="BFBFBF"/>
              <w:left w:val="nil"/>
              <w:bottom w:val="single" w:sz="4" w:color="BFBFBF"/>
              <w:right w:val="nil"/>
            </w:tcBorders>
          </w:tcPr>
          <w:p>
            <w:pPr>
              <w:spacing w:after="0" w:before="0"/>
            </w:pPr>
            <w:r/>
            <w:r>
              <w:rPr>
                <w:rFonts w:ascii="Calibri" w:hAnsi="Calibri"/>
                <w:sz w:val="19"/>
              </w:rPr>
              <w:t>janv. 2026</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155</w:t>
            </w:r>
          </w:p>
        </w:tc>
      </w:tr>
      <w:tr>
        <w:tc>
          <w:tcPr>
            <w:tcW w:type="dxa" w:w="454"/>
            <w:tcBorders>
              <w:top w:val="single" w:sz="4" w:color="BFBFBF"/>
              <w:left w:val="nil"/>
              <w:bottom w:val="single" w:sz="4" w:color="BFBFBF"/>
              <w:right w:val="nil"/>
            </w:tcBorders>
            <w:shd w:val="clear" w:color="auto" w:fill="F2F5FA"/>
          </w:tcPr>
          <w:p>
            <w:pPr>
              <w:spacing w:after="0" w:before="0"/>
            </w:pPr>
            <w:r/>
            <w:r>
              <w:rPr>
                <w:rFonts w:ascii="Calibri" w:hAnsi="Calibri"/>
                <w:sz w:val="19"/>
              </w:rPr>
              <w:t>14</w:t>
            </w:r>
          </w:p>
        </w:tc>
        <w:tc>
          <w:tcPr>
            <w:tcW w:type="dxa" w:w="6009"/>
            <w:tcBorders>
              <w:top w:val="single" w:sz="4" w:color="BFBFBF"/>
              <w:left w:val="nil"/>
              <w:bottom w:val="single" w:sz="4" w:color="BFBFBF"/>
              <w:right w:val="nil"/>
            </w:tcBorders>
            <w:shd w:val="clear" w:color="auto" w:fill="F2F5FA"/>
          </w:tcPr>
          <w:p>
            <w:pPr>
              <w:spacing w:after="0" w:before="0"/>
            </w:pPr>
            <w:r/>
            <w:r>
              <w:rPr>
                <w:rFonts w:ascii="Calibri" w:hAnsi="Calibri"/>
                <w:sz w:val="19"/>
              </w:rPr>
              <w:t>Les îles Éparses, ou comment bien achever la décolonisation</w:t>
            </w:r>
          </w:p>
        </w:tc>
        <w:tc>
          <w:tcPr>
            <w:tcW w:type="dxa" w:w="1247"/>
            <w:tcBorders>
              <w:top w:val="single" w:sz="4" w:color="BFBFBF"/>
              <w:left w:val="nil"/>
              <w:bottom w:val="single" w:sz="4" w:color="BFBFBF"/>
              <w:right w:val="nil"/>
            </w:tcBorders>
            <w:shd w:val="clear" w:color="auto" w:fill="F2F5FA"/>
          </w:tcPr>
          <w:p>
            <w:pPr>
              <w:spacing w:after="0" w:before="0"/>
            </w:pPr>
            <w:r/>
            <w:r>
              <w:rPr>
                <w:rFonts w:ascii="Calibri" w:hAnsi="Calibri"/>
                <w:sz w:val="19"/>
              </w:rPr>
              <w:t>mars 2023</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154</w:t>
            </w:r>
          </w:p>
        </w:tc>
      </w:tr>
      <w:tr>
        <w:tc>
          <w:tcPr>
            <w:tcW w:type="dxa" w:w="454"/>
            <w:tcBorders>
              <w:top w:val="single" w:sz="4" w:color="BFBFBF"/>
              <w:left w:val="nil"/>
              <w:bottom w:val="single" w:sz="4" w:color="BFBFBF"/>
              <w:right w:val="nil"/>
            </w:tcBorders>
          </w:tcPr>
          <w:p>
            <w:pPr>
              <w:spacing w:after="0" w:before="0"/>
            </w:pPr>
            <w:r/>
            <w:r>
              <w:rPr>
                <w:rFonts w:ascii="Calibri" w:hAnsi="Calibri"/>
                <w:sz w:val="19"/>
              </w:rPr>
              <w:t>15</w:t>
            </w:r>
          </w:p>
        </w:tc>
        <w:tc>
          <w:tcPr>
            <w:tcW w:type="dxa" w:w="6009"/>
            <w:tcBorders>
              <w:top w:val="single" w:sz="4" w:color="BFBFBF"/>
              <w:left w:val="nil"/>
              <w:bottom w:val="single" w:sz="4" w:color="BFBFBF"/>
              <w:right w:val="nil"/>
            </w:tcBorders>
          </w:tcPr>
          <w:p>
            <w:pPr>
              <w:spacing w:after="0" w:before="0"/>
            </w:pPr>
            <w:r/>
            <w:r>
              <w:rPr>
                <w:rFonts w:ascii="Calibri" w:hAnsi="Calibri"/>
                <w:sz w:val="19"/>
              </w:rPr>
              <w:t>La JIRAMA et ses dépendances</w:t>
            </w:r>
          </w:p>
        </w:tc>
        <w:tc>
          <w:tcPr>
            <w:tcW w:type="dxa" w:w="1247"/>
            <w:tcBorders>
              <w:top w:val="single" w:sz="4" w:color="BFBFBF"/>
              <w:left w:val="nil"/>
              <w:bottom w:val="single" w:sz="4" w:color="BFBFBF"/>
              <w:right w:val="nil"/>
            </w:tcBorders>
          </w:tcPr>
          <w:p>
            <w:pPr>
              <w:spacing w:after="0" w:before="0"/>
            </w:pPr>
            <w:r/>
            <w:r>
              <w:rPr>
                <w:rFonts w:ascii="Calibri" w:hAnsi="Calibri"/>
                <w:sz w:val="19"/>
              </w:rPr>
              <w:t>nov. 2025</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150</w:t>
            </w:r>
          </w:p>
        </w:tc>
      </w:tr>
      <w:tr>
        <w:tc>
          <w:tcPr>
            <w:tcW w:type="dxa" w:w="454"/>
            <w:tcBorders>
              <w:top w:val="single" w:sz="4" w:color="BFBFBF"/>
              <w:left w:val="nil"/>
              <w:bottom w:val="single" w:sz="4" w:color="BFBFBF"/>
              <w:right w:val="nil"/>
            </w:tcBorders>
            <w:shd w:val="clear" w:color="auto" w:fill="F2F5FA"/>
          </w:tcPr>
          <w:p>
            <w:pPr>
              <w:spacing w:after="0" w:before="0"/>
            </w:pPr>
            <w:r/>
            <w:r>
              <w:rPr>
                <w:rFonts w:ascii="Calibri" w:hAnsi="Calibri"/>
                <w:sz w:val="19"/>
              </w:rPr>
              <w:t>16</w:t>
            </w:r>
          </w:p>
        </w:tc>
        <w:tc>
          <w:tcPr>
            <w:tcW w:type="dxa" w:w="6009"/>
            <w:tcBorders>
              <w:top w:val="single" w:sz="4" w:color="BFBFBF"/>
              <w:left w:val="nil"/>
              <w:bottom w:val="single" w:sz="4" w:color="BFBFBF"/>
              <w:right w:val="nil"/>
            </w:tcBorders>
            <w:shd w:val="clear" w:color="auto" w:fill="F2F5FA"/>
          </w:tcPr>
          <w:p>
            <w:pPr>
              <w:spacing w:after="0" w:before="0"/>
            </w:pPr>
            <w:r/>
            <w:r>
              <w:rPr>
                <w:rFonts w:ascii="Calibri" w:hAnsi="Calibri"/>
                <w:sz w:val="19"/>
              </w:rPr>
              <w:t>50 ans d'économie malgache dans son contexte régional</w:t>
            </w:r>
          </w:p>
        </w:tc>
        <w:tc>
          <w:tcPr>
            <w:tcW w:type="dxa" w:w="1247"/>
            <w:tcBorders>
              <w:top w:val="single" w:sz="4" w:color="BFBFBF"/>
              <w:left w:val="nil"/>
              <w:bottom w:val="single" w:sz="4" w:color="BFBFBF"/>
              <w:right w:val="nil"/>
            </w:tcBorders>
            <w:shd w:val="clear" w:color="auto" w:fill="F2F5FA"/>
          </w:tcPr>
          <w:p>
            <w:pPr>
              <w:spacing w:after="0" w:before="0"/>
            </w:pPr>
            <w:r/>
            <w:r>
              <w:rPr>
                <w:rFonts w:ascii="Calibri" w:hAnsi="Calibri"/>
                <w:sz w:val="19"/>
              </w:rPr>
              <w:t>juin 2025</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140</w:t>
            </w:r>
          </w:p>
        </w:tc>
      </w:tr>
      <w:tr>
        <w:tc>
          <w:tcPr>
            <w:tcW w:type="dxa" w:w="454"/>
            <w:tcBorders>
              <w:top w:val="single" w:sz="4" w:color="BFBFBF"/>
              <w:left w:val="nil"/>
              <w:bottom w:val="single" w:sz="4" w:color="BFBFBF"/>
              <w:right w:val="nil"/>
            </w:tcBorders>
          </w:tcPr>
          <w:p>
            <w:pPr>
              <w:spacing w:after="0" w:before="0"/>
            </w:pPr>
            <w:r/>
            <w:r>
              <w:rPr>
                <w:rFonts w:ascii="Calibri" w:hAnsi="Calibri"/>
                <w:sz w:val="19"/>
              </w:rPr>
              <w:t>17</w:t>
            </w:r>
          </w:p>
        </w:tc>
        <w:tc>
          <w:tcPr>
            <w:tcW w:type="dxa" w:w="6009"/>
            <w:tcBorders>
              <w:top w:val="single" w:sz="4" w:color="BFBFBF"/>
              <w:left w:val="nil"/>
              <w:bottom w:val="single" w:sz="4" w:color="BFBFBF"/>
              <w:right w:val="nil"/>
            </w:tcBorders>
          </w:tcPr>
          <w:p>
            <w:pPr>
              <w:spacing w:after="0" w:before="0"/>
            </w:pPr>
            <w:r/>
            <w:r>
              <w:rPr>
                <w:rFonts w:ascii="Calibri" w:hAnsi="Calibri"/>
                <w:sz w:val="19"/>
              </w:rPr>
              <w:t>Comprendre la situation énergétique de Madagascar</w:t>
            </w:r>
          </w:p>
        </w:tc>
        <w:tc>
          <w:tcPr>
            <w:tcW w:type="dxa" w:w="1247"/>
            <w:tcBorders>
              <w:top w:val="single" w:sz="4" w:color="BFBFBF"/>
              <w:left w:val="nil"/>
              <w:bottom w:val="single" w:sz="4" w:color="BFBFBF"/>
              <w:right w:val="nil"/>
            </w:tcBorders>
          </w:tcPr>
          <w:p>
            <w:pPr>
              <w:spacing w:after="0" w:before="0"/>
            </w:pPr>
            <w:r/>
            <w:r>
              <w:rPr>
                <w:rFonts w:ascii="Calibri" w:hAnsi="Calibri"/>
                <w:sz w:val="19"/>
              </w:rPr>
              <w:t>févr. 2025</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136</w:t>
            </w:r>
          </w:p>
        </w:tc>
      </w:tr>
      <w:tr>
        <w:tc>
          <w:tcPr>
            <w:tcW w:type="dxa" w:w="454"/>
            <w:tcBorders>
              <w:top w:val="single" w:sz="4" w:color="BFBFBF"/>
              <w:left w:val="nil"/>
              <w:bottom w:val="single" w:sz="4" w:color="BFBFBF"/>
              <w:right w:val="nil"/>
            </w:tcBorders>
            <w:shd w:val="clear" w:color="auto" w:fill="F2F5FA"/>
          </w:tcPr>
          <w:p>
            <w:pPr>
              <w:spacing w:after="0" w:before="0"/>
            </w:pPr>
            <w:r/>
            <w:r>
              <w:rPr>
                <w:rFonts w:ascii="Calibri" w:hAnsi="Calibri"/>
                <w:sz w:val="19"/>
              </w:rPr>
              <w:t>18</w:t>
            </w:r>
          </w:p>
        </w:tc>
        <w:tc>
          <w:tcPr>
            <w:tcW w:type="dxa" w:w="6009"/>
            <w:tcBorders>
              <w:top w:val="single" w:sz="4" w:color="BFBFBF"/>
              <w:left w:val="nil"/>
              <w:bottom w:val="single" w:sz="4" w:color="BFBFBF"/>
              <w:right w:val="nil"/>
            </w:tcBorders>
            <w:shd w:val="clear" w:color="auto" w:fill="F2F5FA"/>
          </w:tcPr>
          <w:p>
            <w:pPr>
              <w:spacing w:after="0" w:before="0"/>
            </w:pPr>
            <w:r/>
            <w:r>
              <w:rPr>
                <w:rFonts w:ascii="Calibri" w:hAnsi="Calibri"/>
                <w:sz w:val="19"/>
              </w:rPr>
              <w:t>Madagascar : l'économie fantôme d'une nation spoliée</w:t>
            </w:r>
          </w:p>
        </w:tc>
        <w:tc>
          <w:tcPr>
            <w:tcW w:type="dxa" w:w="1247"/>
            <w:tcBorders>
              <w:top w:val="single" w:sz="4" w:color="BFBFBF"/>
              <w:left w:val="nil"/>
              <w:bottom w:val="single" w:sz="4" w:color="BFBFBF"/>
              <w:right w:val="nil"/>
            </w:tcBorders>
            <w:shd w:val="clear" w:color="auto" w:fill="F2F5FA"/>
          </w:tcPr>
          <w:p>
            <w:pPr>
              <w:spacing w:after="0" w:before="0"/>
            </w:pPr>
            <w:r/>
            <w:r>
              <w:rPr>
                <w:rFonts w:ascii="Calibri" w:hAnsi="Calibri"/>
                <w:sz w:val="19"/>
              </w:rPr>
              <w:t>mars 2025</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128</w:t>
            </w:r>
          </w:p>
        </w:tc>
      </w:tr>
      <w:tr>
        <w:tc>
          <w:tcPr>
            <w:tcW w:type="dxa" w:w="454"/>
            <w:tcBorders>
              <w:top w:val="single" w:sz="4" w:color="BFBFBF"/>
              <w:left w:val="nil"/>
              <w:bottom w:val="single" w:sz="4" w:color="BFBFBF"/>
              <w:right w:val="nil"/>
            </w:tcBorders>
          </w:tcPr>
          <w:p>
            <w:pPr>
              <w:spacing w:after="0" w:before="0"/>
            </w:pPr>
            <w:r/>
            <w:r>
              <w:rPr>
                <w:rFonts w:ascii="Calibri" w:hAnsi="Calibri"/>
                <w:sz w:val="19"/>
              </w:rPr>
              <w:t>19</w:t>
            </w:r>
          </w:p>
        </w:tc>
        <w:tc>
          <w:tcPr>
            <w:tcW w:type="dxa" w:w="6009"/>
            <w:tcBorders>
              <w:top w:val="single" w:sz="4" w:color="BFBFBF"/>
              <w:left w:val="nil"/>
              <w:bottom w:val="single" w:sz="4" w:color="BFBFBF"/>
              <w:right w:val="nil"/>
            </w:tcBorders>
          </w:tcPr>
          <w:p>
            <w:pPr>
              <w:spacing w:after="0" w:before="0"/>
            </w:pPr>
            <w:r/>
            <w:r>
              <w:rPr>
                <w:rFonts w:ascii="Calibri" w:hAnsi="Calibri"/>
                <w:sz w:val="19"/>
              </w:rPr>
              <w:t>Gen Z : se préparer à gouverner ou se résoudre à subir ?</w:t>
            </w:r>
          </w:p>
        </w:tc>
        <w:tc>
          <w:tcPr>
            <w:tcW w:type="dxa" w:w="1247"/>
            <w:tcBorders>
              <w:top w:val="single" w:sz="4" w:color="BFBFBF"/>
              <w:left w:val="nil"/>
              <w:bottom w:val="single" w:sz="4" w:color="BFBFBF"/>
              <w:right w:val="nil"/>
            </w:tcBorders>
          </w:tcPr>
          <w:p>
            <w:pPr>
              <w:spacing w:after="0" w:before="0"/>
            </w:pPr>
            <w:r/>
            <w:r>
              <w:rPr>
                <w:rFonts w:ascii="Calibri" w:hAnsi="Calibri"/>
                <w:sz w:val="19"/>
              </w:rPr>
              <w:t>oct. 2025</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125</w:t>
            </w:r>
          </w:p>
        </w:tc>
      </w:tr>
      <w:tr>
        <w:tc>
          <w:tcPr>
            <w:tcW w:type="dxa" w:w="454"/>
            <w:tcBorders>
              <w:top w:val="single" w:sz="4" w:color="BFBFBF"/>
              <w:left w:val="nil"/>
              <w:bottom w:val="single" w:sz="4" w:color="BFBFBF"/>
              <w:right w:val="nil"/>
            </w:tcBorders>
            <w:shd w:val="clear" w:color="auto" w:fill="F2F5FA"/>
          </w:tcPr>
          <w:p>
            <w:pPr>
              <w:spacing w:after="0" w:before="0"/>
            </w:pPr>
            <w:r/>
            <w:r>
              <w:rPr>
                <w:rFonts w:ascii="Calibri" w:hAnsi="Calibri"/>
                <w:sz w:val="19"/>
              </w:rPr>
              <w:t>20</w:t>
            </w:r>
          </w:p>
        </w:tc>
        <w:tc>
          <w:tcPr>
            <w:tcW w:type="dxa" w:w="6009"/>
            <w:tcBorders>
              <w:top w:val="single" w:sz="4" w:color="BFBFBF"/>
              <w:left w:val="nil"/>
              <w:bottom w:val="single" w:sz="4" w:color="BFBFBF"/>
              <w:right w:val="nil"/>
            </w:tcBorders>
            <w:shd w:val="clear" w:color="auto" w:fill="F2F5FA"/>
          </w:tcPr>
          <w:p>
            <w:pPr>
              <w:spacing w:after="0" w:before="0"/>
            </w:pPr>
            <w:r/>
            <w:r>
              <w:rPr>
                <w:rFonts w:ascii="Calibri" w:hAnsi="Calibri"/>
                <w:sz w:val="19"/>
              </w:rPr>
              <w:t>Constitution empruntée, trajectoire bousculée</w:t>
            </w:r>
          </w:p>
        </w:tc>
        <w:tc>
          <w:tcPr>
            <w:tcW w:type="dxa" w:w="1247"/>
            <w:tcBorders>
              <w:top w:val="single" w:sz="4" w:color="BFBFBF"/>
              <w:left w:val="nil"/>
              <w:bottom w:val="single" w:sz="4" w:color="BFBFBF"/>
              <w:right w:val="nil"/>
            </w:tcBorders>
            <w:shd w:val="clear" w:color="auto" w:fill="F2F5FA"/>
          </w:tcPr>
          <w:p>
            <w:pPr>
              <w:spacing w:after="0" w:before="0"/>
            </w:pPr>
            <w:r/>
            <w:r>
              <w:rPr>
                <w:rFonts w:ascii="Calibri" w:hAnsi="Calibri"/>
                <w:sz w:val="19"/>
              </w:rPr>
              <w:t>déc. 2025</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125</w:t>
            </w:r>
          </w:p>
        </w:tc>
      </w:tr>
    </w:tbl>
    <w:p>
      <w:pPr>
        <w:spacing w:after="240"/>
      </w:pPr>
      <w:r>
        <w:rPr>
          <w:i/>
          <w:color w:val="595959"/>
          <w:sz w:val="18"/>
        </w:rPr>
        <w:t>Vues depuis janvier 2025, hors pages (accueil, Le Débat, Qui sommes-nous). Source : Jetpack.</w:t>
      </w:r>
    </w:p>
    <w:p>
      <w:pPr>
        <w:pStyle w:val="Titre1"/>
        <w:spacing w:after="160"/>
      </w:pPr>
      <w:r>
        <w:t>3. Réseaux sociaux</w:t>
      </w:r>
    </w:p>
    <w:p>
      <w:pPr>
        <w:spacing w:after="160" w:line="276" w:lineRule="auto"/>
        <w:jc w:val="both"/>
      </w:pPr>
      <w:r>
        <w:rPr/>
        <w:t>Facebook concentre 754 900 vues, 14 300 interactions, 19 000 visites de la page et 3 400 nouveaux abonnés depuis janvier 2025. L'audience est très concentrée sur les temps forts : mars et avril 2026 font à eux seuls 53 % des vues de la période.</w:t>
      </w:r>
    </w:p>
    <w:p>
      <w:pPr>
        <w:keepNext/>
        <w:spacing w:after="40"/>
      </w:pPr>
      <w:r>
        <w:drawing>
          <wp:inline xmlns:a="http://schemas.openxmlformats.org/drawingml/2006/main" xmlns:pic="http://schemas.openxmlformats.org/drawingml/2006/picture">
            <wp:extent cx="5760000" cy="2150400"/>
            <wp:docPr id="6" name="Picture 6"/>
            <wp:cNvGraphicFramePr>
              <a:graphicFrameLocks noChangeAspect="1"/>
            </wp:cNvGraphicFramePr>
            <a:graphic>
              <a:graphicData uri="http://schemas.openxmlformats.org/drawingml/2006/picture">
                <pic:pic>
                  <pic:nvPicPr>
                    <pic:cNvPr id="0" name="fb.png"/>
                    <pic:cNvPicPr/>
                  </pic:nvPicPr>
                  <pic:blipFill>
                    <a:blip r:embed="rId19"/>
                    <a:stretch>
                      <a:fillRect/>
                    </a:stretch>
                  </pic:blipFill>
                  <pic:spPr>
                    <a:xfrm>
                      <a:off x="0" y="0"/>
                      <a:ext cx="5760000" cy="2150400"/>
                    </a:xfrm>
                    <a:prstGeom prst="rect"/>
                  </pic:spPr>
                </pic:pic>
              </a:graphicData>
            </a:graphic>
          </wp:inline>
        </w:drawing>
      </w:r>
    </w:p>
    <w:p>
      <w:pPr>
        <w:spacing w:after="240"/>
      </w:pPr>
      <w:r>
        <w:rPr>
          <w:i/>
          <w:color w:val="595959"/>
          <w:sz w:val="18"/>
        </w:rPr>
        <w:t>Vues Facebook par mois. Source : Meta Business Suite.</w:t>
      </w:r>
    </w:p>
    <w:p>
      <w:pPr>
        <w:pStyle w:val="Titre2"/>
        <w:spacing w:before="240" w:after="120"/>
      </w:pPr>
      <w:r>
        <w:t>Comptes et communautés</w:t>
      </w:r>
    </w:p>
    <w:tbl>
      <w:tblPr>
        <w:jc w:val="center"/>
        <w:tblLook w:firstColumn="1" w:firstRow="1" w:lastColumn="0" w:lastRow="0" w:noHBand="0" w:noVBand="1" w:val="04A0"/>
        <w:tblW w:w="8616" w:type="dxa"/>
        <w:tblLayout w:type="fixed"/>
      </w:tblPr>
      <w:tblGrid>
        <w:gridCol w:w="1134"/>
        <w:gridCol w:w="2041"/>
        <w:gridCol w:w="1020"/>
        <w:gridCol w:w="1190"/>
        <w:gridCol w:w="1077"/>
        <w:gridCol w:w="2154"/>
      </w:tblGrid>
      <w:tr>
        <w:trPr>
          <w:tblHeader w:val="true"/>
        </w:trPr>
        <w:tc>
          <w:tcPr>
            <w:tcW w:type="dxa" w:w="1134"/>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Canal</w:t>
            </w:r>
          </w:p>
        </w:tc>
        <w:tc>
          <w:tcPr>
            <w:tcW w:type="dxa" w:w="2041"/>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Compte</w:t>
            </w:r>
          </w:p>
        </w:tc>
        <w:tc>
          <w:tcPr>
            <w:tcW w:type="dxa" w:w="1020"/>
            <w:shd w:val="clear" w:color="auto" w:fill="2F5496"/>
            <w:tcBorders>
              <w:top w:val="single" w:sz="4" w:color="2F5496"/>
              <w:left w:val="nil"/>
              <w:bottom w:val="single" w:sz="4" w:color="2F5496"/>
              <w:right w:val="nil"/>
            </w:tcBorders>
          </w:tcPr>
          <w:p>
            <w:pPr>
              <w:spacing w:after="0" w:before="0"/>
              <w:jc w:val="right"/>
            </w:pPr>
            <w:r/>
            <w:r>
              <w:rPr>
                <w:rFonts w:ascii="Calibri" w:hAnsi="Calibri"/>
                <w:b/>
                <w:color w:val="FFFFFF"/>
                <w:sz w:val="19"/>
              </w:rPr>
              <w:t>Abonnés</w:t>
            </w:r>
          </w:p>
        </w:tc>
        <w:tc>
          <w:tcPr>
            <w:tcW w:type="dxa" w:w="1191"/>
            <w:shd w:val="clear" w:color="auto" w:fill="2F5496"/>
            <w:tcBorders>
              <w:top w:val="single" w:sz="4" w:color="2F5496"/>
              <w:left w:val="nil"/>
              <w:bottom w:val="single" w:sz="4" w:color="2F5496"/>
              <w:right w:val="nil"/>
            </w:tcBorders>
          </w:tcPr>
          <w:p>
            <w:pPr>
              <w:spacing w:after="0" w:before="0"/>
              <w:jc w:val="right"/>
            </w:pPr>
            <w:r/>
            <w:r>
              <w:rPr>
                <w:rFonts w:ascii="Calibri" w:hAnsi="Calibri"/>
                <w:b/>
                <w:color w:val="FFFFFF"/>
                <w:sz w:val="19"/>
              </w:rPr>
              <w:t>Publications</w:t>
            </w:r>
          </w:p>
        </w:tc>
        <w:tc>
          <w:tcPr>
            <w:tcW w:type="dxa" w:w="1077"/>
            <w:shd w:val="clear" w:color="auto" w:fill="2F5496"/>
            <w:tcBorders>
              <w:top w:val="single" w:sz="4" w:color="2F5496"/>
              <w:left w:val="nil"/>
              <w:bottom w:val="single" w:sz="4" w:color="2F5496"/>
              <w:right w:val="nil"/>
            </w:tcBorders>
          </w:tcPr>
          <w:p>
            <w:pPr>
              <w:spacing w:after="0" w:before="0"/>
              <w:jc w:val="right"/>
            </w:pPr>
            <w:r/>
            <w:r>
              <w:rPr>
                <w:rFonts w:ascii="Calibri" w:hAnsi="Calibri"/>
                <w:b/>
                <w:color w:val="FFFFFF"/>
                <w:sz w:val="19"/>
              </w:rPr>
              <w:t>Audience</w:t>
            </w:r>
          </w:p>
        </w:tc>
        <w:tc>
          <w:tcPr>
            <w:tcW w:type="dxa" w:w="2154"/>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Période</w:t>
            </w:r>
          </w:p>
        </w:tc>
      </w:tr>
      <w:tr>
        <w:tc>
          <w:tcPr>
            <w:tcW w:type="dxa" w:w="1134"/>
            <w:tcBorders>
              <w:top w:val="single" w:sz="4" w:color="BFBFBF"/>
              <w:left w:val="nil"/>
              <w:bottom w:val="single" w:sz="4" w:color="BFBFBF"/>
              <w:right w:val="nil"/>
            </w:tcBorders>
          </w:tcPr>
          <w:p>
            <w:pPr>
              <w:spacing w:after="0" w:before="0"/>
            </w:pPr>
            <w:r/>
            <w:r>
              <w:rPr>
                <w:rFonts w:ascii="Calibri" w:hAnsi="Calibri"/>
                <w:sz w:val="19"/>
              </w:rPr>
              <w:t>Facebook</w:t>
            </w:r>
          </w:p>
        </w:tc>
        <w:tc>
          <w:tcPr>
            <w:tcW w:type="dxa" w:w="2041"/>
            <w:tcBorders>
              <w:top w:val="single" w:sz="4" w:color="BFBFBF"/>
              <w:left w:val="nil"/>
              <w:bottom w:val="single" w:sz="4" w:color="BFBFBF"/>
              <w:right w:val="nil"/>
            </w:tcBorders>
          </w:tcPr>
          <w:p>
            <w:pPr>
              <w:spacing w:after="0" w:before="0"/>
            </w:pPr>
            <w:r/>
            <w:r>
              <w:rPr>
                <w:rFonts w:ascii="Calibri" w:hAnsi="Calibri"/>
                <w:sz w:val="19"/>
              </w:rPr>
              <w:t>Page Diapason</w:t>
            </w:r>
          </w:p>
        </w:tc>
        <w:tc>
          <w:tcPr>
            <w:tcW w:type="dxa" w:w="1020"/>
            <w:tcBorders>
              <w:top w:val="single" w:sz="4" w:color="BFBFBF"/>
              <w:left w:val="nil"/>
              <w:bottom w:val="single" w:sz="4" w:color="BFBFBF"/>
              <w:right w:val="nil"/>
            </w:tcBorders>
          </w:tcPr>
          <w:p>
            <w:pPr>
              <w:spacing w:after="0" w:before="0"/>
              <w:jc w:val="right"/>
            </w:pPr>
            <w:r/>
            <w:r>
              <w:rPr>
                <w:rFonts w:ascii="Calibri" w:hAnsi="Calibri"/>
                <w:sz w:val="19"/>
              </w:rPr>
              <w:t>3 500</w:t>
            </w:r>
          </w:p>
        </w:tc>
        <w:tc>
          <w:tcPr>
            <w:tcW w:type="dxa" w:w="1191"/>
            <w:tcBorders>
              <w:top w:val="single" w:sz="4" w:color="BFBFBF"/>
              <w:left w:val="nil"/>
              <w:bottom w:val="single" w:sz="4" w:color="BFBFBF"/>
              <w:right w:val="nil"/>
            </w:tcBorders>
          </w:tcPr>
          <w:p>
            <w:pPr>
              <w:spacing w:after="0" w:before="0"/>
              <w:jc w:val="right"/>
            </w:pPr>
            <w:r/>
            <w:r>
              <w:rPr>
                <w:rFonts w:ascii="Calibri" w:hAnsi="Calibri"/>
                <w:sz w:val="19"/>
              </w:rPr>
              <w:t>—</w:t>
            </w:r>
          </w:p>
        </w:tc>
        <w:tc>
          <w:tcPr>
            <w:tcW w:type="dxa" w:w="1077"/>
            <w:tcBorders>
              <w:top w:val="single" w:sz="4" w:color="BFBFBF"/>
              <w:left w:val="nil"/>
              <w:bottom w:val="single" w:sz="4" w:color="BFBFBF"/>
              <w:right w:val="nil"/>
            </w:tcBorders>
          </w:tcPr>
          <w:p>
            <w:pPr>
              <w:spacing w:after="0" w:before="0"/>
              <w:jc w:val="right"/>
            </w:pPr>
            <w:r/>
            <w:r>
              <w:rPr>
                <w:rFonts w:ascii="Calibri" w:hAnsi="Calibri"/>
                <w:sz w:val="19"/>
              </w:rPr>
              <w:t>754 900</w:t>
            </w:r>
          </w:p>
        </w:tc>
        <w:tc>
          <w:tcPr>
            <w:tcW w:type="dxa" w:w="2154"/>
            <w:tcBorders>
              <w:top w:val="single" w:sz="4" w:color="BFBFBF"/>
              <w:left w:val="nil"/>
              <w:bottom w:val="single" w:sz="4" w:color="BFBFBF"/>
              <w:right w:val="nil"/>
            </w:tcBorders>
          </w:tcPr>
          <w:p>
            <w:pPr>
              <w:spacing w:after="0" w:before="0"/>
            </w:pPr>
            <w:r/>
            <w:r>
              <w:rPr>
                <w:rFonts w:ascii="Calibri" w:hAnsi="Calibri"/>
                <w:sz w:val="19"/>
              </w:rPr>
              <w:t>vues depuis le 1er janv. 2025</w:t>
            </w:r>
          </w:p>
        </w:tc>
      </w:tr>
      <w:tr>
        <w:tc>
          <w:tcPr>
            <w:tcW w:type="dxa" w:w="1134"/>
            <w:tcBorders>
              <w:top w:val="single" w:sz="4" w:color="BFBFBF"/>
              <w:left w:val="nil"/>
              <w:bottom w:val="single" w:sz="4" w:color="BFBFBF"/>
              <w:right w:val="nil"/>
            </w:tcBorders>
            <w:shd w:val="clear" w:color="auto" w:fill="F2F5FA"/>
          </w:tcPr>
          <w:p>
            <w:pPr>
              <w:spacing w:after="0" w:before="0"/>
            </w:pPr>
            <w:r/>
            <w:r>
              <w:rPr>
                <w:rFonts w:ascii="Calibri" w:hAnsi="Calibri"/>
                <w:sz w:val="19"/>
              </w:rPr>
              <w:t>LinkedIn</w:t>
            </w:r>
          </w:p>
        </w:tc>
        <w:tc>
          <w:tcPr>
            <w:tcW w:type="dxa" w:w="2041"/>
            <w:tcBorders>
              <w:top w:val="single" w:sz="4" w:color="BFBFBF"/>
              <w:left w:val="nil"/>
              <w:bottom w:val="single" w:sz="4" w:color="BFBFBF"/>
              <w:right w:val="nil"/>
            </w:tcBorders>
            <w:shd w:val="clear" w:color="auto" w:fill="F2F5FA"/>
          </w:tcPr>
          <w:p>
            <w:pPr>
              <w:spacing w:after="0" w:before="0"/>
            </w:pPr>
            <w:r/>
            <w:r>
              <w:rPr>
                <w:rFonts w:ascii="Calibri" w:hAnsi="Calibri"/>
                <w:sz w:val="19"/>
              </w:rPr>
              <w:t>Page entreprise</w:t>
            </w:r>
          </w:p>
        </w:tc>
        <w:tc>
          <w:tcPr>
            <w:tcW w:type="dxa" w:w="1020"/>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698</w:t>
            </w:r>
          </w:p>
        </w:tc>
        <w:tc>
          <w:tcPr>
            <w:tcW w:type="dxa" w:w="1191"/>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w:t>
            </w:r>
          </w:p>
        </w:tc>
        <w:tc>
          <w:tcPr>
            <w:tcW w:type="dxa" w:w="107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12 412</w:t>
            </w:r>
          </w:p>
        </w:tc>
        <w:tc>
          <w:tcPr>
            <w:tcW w:type="dxa" w:w="2154"/>
            <w:tcBorders>
              <w:top w:val="single" w:sz="4" w:color="BFBFBF"/>
              <w:left w:val="nil"/>
              <w:bottom w:val="single" w:sz="4" w:color="BFBFBF"/>
              <w:right w:val="nil"/>
            </w:tcBorders>
            <w:shd w:val="clear" w:color="auto" w:fill="F2F5FA"/>
          </w:tcPr>
          <w:p>
            <w:pPr>
              <w:spacing w:after="0" w:before="0"/>
            </w:pPr>
            <w:r/>
            <w:r>
              <w:rPr>
                <w:rFonts w:ascii="Calibri" w:hAnsi="Calibri"/>
                <w:sz w:val="19"/>
              </w:rPr>
              <w:t>impressions sur 12 mois</w:t>
            </w:r>
          </w:p>
        </w:tc>
      </w:tr>
      <w:tr>
        <w:tc>
          <w:tcPr>
            <w:tcW w:type="dxa" w:w="1134"/>
            <w:tcBorders>
              <w:top w:val="single" w:sz="4" w:color="BFBFBF"/>
              <w:left w:val="nil"/>
              <w:bottom w:val="single" w:sz="4" w:color="BFBFBF"/>
              <w:right w:val="nil"/>
            </w:tcBorders>
          </w:tcPr>
          <w:p>
            <w:pPr>
              <w:spacing w:after="0" w:before="0"/>
            </w:pPr>
            <w:r/>
            <w:r>
              <w:rPr>
                <w:rFonts w:ascii="Calibri" w:hAnsi="Calibri"/>
                <w:sz w:val="19"/>
              </w:rPr>
              <w:t>Newsletter</w:t>
            </w:r>
          </w:p>
        </w:tc>
        <w:tc>
          <w:tcPr>
            <w:tcW w:type="dxa" w:w="2041"/>
            <w:tcBorders>
              <w:top w:val="single" w:sz="4" w:color="BFBFBF"/>
              <w:left w:val="nil"/>
              <w:bottom w:val="single" w:sz="4" w:color="BFBFBF"/>
              <w:right w:val="nil"/>
            </w:tcBorders>
          </w:tcPr>
          <w:p>
            <w:pPr>
              <w:spacing w:after="0" w:before="0"/>
            </w:pPr>
            <w:r/>
            <w:r>
              <w:rPr>
                <w:rFonts w:ascii="Calibri" w:hAnsi="Calibri"/>
                <w:sz w:val="19"/>
              </w:rPr>
              <w:t>Abonnés e-mail (Jetpack)</w:t>
            </w:r>
          </w:p>
        </w:tc>
        <w:tc>
          <w:tcPr>
            <w:tcW w:type="dxa" w:w="1020"/>
            <w:tcBorders>
              <w:top w:val="single" w:sz="4" w:color="BFBFBF"/>
              <w:left w:val="nil"/>
              <w:bottom w:val="single" w:sz="4" w:color="BFBFBF"/>
              <w:right w:val="nil"/>
            </w:tcBorders>
          </w:tcPr>
          <w:p>
            <w:pPr>
              <w:spacing w:after="0" w:before="0"/>
              <w:jc w:val="right"/>
            </w:pPr>
            <w:r/>
            <w:r>
              <w:rPr>
                <w:rFonts w:ascii="Calibri" w:hAnsi="Calibri"/>
                <w:sz w:val="19"/>
              </w:rPr>
              <w:t>252</w:t>
            </w:r>
          </w:p>
        </w:tc>
        <w:tc>
          <w:tcPr>
            <w:tcW w:type="dxa" w:w="1191"/>
            <w:tcBorders>
              <w:top w:val="single" w:sz="4" w:color="BFBFBF"/>
              <w:left w:val="nil"/>
              <w:bottom w:val="single" w:sz="4" w:color="BFBFBF"/>
              <w:right w:val="nil"/>
            </w:tcBorders>
          </w:tcPr>
          <w:p>
            <w:pPr>
              <w:spacing w:after="0" w:before="0"/>
              <w:jc w:val="right"/>
            </w:pPr>
            <w:r/>
            <w:r>
              <w:rPr>
                <w:rFonts w:ascii="Calibri" w:hAnsi="Calibri"/>
                <w:sz w:val="19"/>
              </w:rPr>
              <w:t>18</w:t>
            </w:r>
          </w:p>
        </w:tc>
        <w:tc>
          <w:tcPr>
            <w:tcW w:type="dxa" w:w="1077"/>
            <w:tcBorders>
              <w:top w:val="single" w:sz="4" w:color="BFBFBF"/>
              <w:left w:val="nil"/>
              <w:bottom w:val="single" w:sz="4" w:color="BFBFBF"/>
              <w:right w:val="nil"/>
            </w:tcBorders>
          </w:tcPr>
          <w:p>
            <w:pPr>
              <w:spacing w:after="0" w:before="0"/>
              <w:jc w:val="right"/>
            </w:pPr>
            <w:r/>
            <w:r>
              <w:rPr>
                <w:rFonts w:ascii="Calibri" w:hAnsi="Calibri"/>
                <w:sz w:val="19"/>
              </w:rPr>
              <w:t>—</w:t>
            </w:r>
          </w:p>
        </w:tc>
        <w:tc>
          <w:tcPr>
            <w:tcW w:type="dxa" w:w="2154"/>
            <w:tcBorders>
              <w:top w:val="single" w:sz="4" w:color="BFBFBF"/>
              <w:left w:val="nil"/>
              <w:bottom w:val="single" w:sz="4" w:color="BFBFBF"/>
              <w:right w:val="nil"/>
            </w:tcBorders>
          </w:tcPr>
          <w:p>
            <w:pPr>
              <w:spacing w:after="0" w:before="0"/>
            </w:pPr>
            <w:r/>
            <w:r>
              <w:rPr>
                <w:rFonts w:ascii="Calibri" w:hAnsi="Calibri"/>
                <w:sz w:val="19"/>
              </w:rPr>
              <w:t>—</w:t>
            </w:r>
          </w:p>
        </w:tc>
      </w:tr>
      <w:tr>
        <w:tc>
          <w:tcPr>
            <w:tcW w:type="dxa" w:w="1134"/>
            <w:tcBorders>
              <w:top w:val="single" w:sz="4" w:color="BFBFBF"/>
              <w:left w:val="nil"/>
              <w:bottom w:val="single" w:sz="4" w:color="BFBFBF"/>
              <w:right w:val="nil"/>
            </w:tcBorders>
            <w:shd w:val="clear" w:color="auto" w:fill="F2F5FA"/>
          </w:tcPr>
          <w:p>
            <w:pPr>
              <w:spacing w:after="0" w:before="0"/>
            </w:pPr>
            <w:r/>
            <w:r>
              <w:rPr>
                <w:rFonts w:ascii="Calibri" w:hAnsi="Calibri"/>
                <w:sz w:val="19"/>
              </w:rPr>
              <w:t>Instagram</w:t>
            </w:r>
          </w:p>
        </w:tc>
        <w:tc>
          <w:tcPr>
            <w:tcW w:type="dxa" w:w="2041"/>
            <w:tcBorders>
              <w:top w:val="single" w:sz="4" w:color="BFBFBF"/>
              <w:left w:val="nil"/>
              <w:bottom w:val="single" w:sz="4" w:color="BFBFBF"/>
              <w:right w:val="nil"/>
            </w:tcBorders>
            <w:shd w:val="clear" w:color="auto" w:fill="F2F5FA"/>
          </w:tcPr>
          <w:p>
            <w:pPr>
              <w:spacing w:after="0" w:before="0"/>
            </w:pPr>
            <w:r/>
            <w:r>
              <w:rPr>
                <w:rFonts w:ascii="Calibri" w:hAnsi="Calibri"/>
                <w:sz w:val="19"/>
              </w:rPr>
              <w:t>@diapason.madagascar</w:t>
            </w:r>
          </w:p>
        </w:tc>
        <w:tc>
          <w:tcPr>
            <w:tcW w:type="dxa" w:w="1020"/>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233</w:t>
            </w:r>
          </w:p>
        </w:tc>
        <w:tc>
          <w:tcPr>
            <w:tcW w:type="dxa" w:w="1191"/>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278</w:t>
            </w:r>
          </w:p>
        </w:tc>
        <w:tc>
          <w:tcPr>
            <w:tcW w:type="dxa" w:w="107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w:t>
            </w:r>
          </w:p>
        </w:tc>
        <w:tc>
          <w:tcPr>
            <w:tcW w:type="dxa" w:w="2154"/>
            <w:tcBorders>
              <w:top w:val="single" w:sz="4" w:color="BFBFBF"/>
              <w:left w:val="nil"/>
              <w:bottom w:val="single" w:sz="4" w:color="BFBFBF"/>
              <w:right w:val="nil"/>
            </w:tcBorders>
            <w:shd w:val="clear" w:color="auto" w:fill="F2F5FA"/>
          </w:tcPr>
          <w:p>
            <w:pPr>
              <w:spacing w:after="0" w:before="0"/>
            </w:pPr>
            <w:r/>
            <w:r>
              <w:rPr>
                <w:rFonts w:ascii="Calibri" w:hAnsi="Calibri"/>
                <w:sz w:val="19"/>
              </w:rPr>
              <w:t>—</w:t>
            </w:r>
          </w:p>
        </w:tc>
      </w:tr>
      <w:tr>
        <w:tc>
          <w:tcPr>
            <w:tcW w:type="dxa" w:w="1134"/>
            <w:tcBorders>
              <w:top w:val="single" w:sz="4" w:color="BFBFBF"/>
              <w:left w:val="nil"/>
              <w:bottom w:val="single" w:sz="4" w:color="BFBFBF"/>
              <w:right w:val="nil"/>
            </w:tcBorders>
          </w:tcPr>
          <w:p>
            <w:pPr>
              <w:spacing w:after="0" w:before="0"/>
            </w:pPr>
            <w:r/>
            <w:r>
              <w:rPr>
                <w:rFonts w:ascii="Calibri" w:hAnsi="Calibri"/>
                <w:sz w:val="19"/>
              </w:rPr>
              <w:t>X</w:t>
            </w:r>
          </w:p>
        </w:tc>
        <w:tc>
          <w:tcPr>
            <w:tcW w:type="dxa" w:w="2041"/>
            <w:tcBorders>
              <w:top w:val="single" w:sz="4" w:color="BFBFBF"/>
              <w:left w:val="nil"/>
              <w:bottom w:val="single" w:sz="4" w:color="BFBFBF"/>
              <w:right w:val="nil"/>
            </w:tcBorders>
          </w:tcPr>
          <w:p>
            <w:pPr>
              <w:spacing w:after="0" w:before="0"/>
            </w:pPr>
            <w:r/>
            <w:r>
              <w:rPr>
                <w:rFonts w:ascii="Calibri" w:hAnsi="Calibri"/>
                <w:sz w:val="19"/>
              </w:rPr>
              <w:t>@diapasonmg</w:t>
            </w:r>
          </w:p>
        </w:tc>
        <w:tc>
          <w:tcPr>
            <w:tcW w:type="dxa" w:w="1020"/>
            <w:tcBorders>
              <w:top w:val="single" w:sz="4" w:color="BFBFBF"/>
              <w:left w:val="nil"/>
              <w:bottom w:val="single" w:sz="4" w:color="BFBFBF"/>
              <w:right w:val="nil"/>
            </w:tcBorders>
          </w:tcPr>
          <w:p>
            <w:pPr>
              <w:spacing w:after="0" w:before="0"/>
              <w:jc w:val="right"/>
            </w:pPr>
            <w:r/>
            <w:r>
              <w:rPr>
                <w:rFonts w:ascii="Calibri" w:hAnsi="Calibri"/>
                <w:sz w:val="19"/>
              </w:rPr>
              <w:t>54</w:t>
            </w:r>
          </w:p>
        </w:tc>
        <w:tc>
          <w:tcPr>
            <w:tcW w:type="dxa" w:w="1191"/>
            <w:tcBorders>
              <w:top w:val="single" w:sz="4" w:color="BFBFBF"/>
              <w:left w:val="nil"/>
              <w:bottom w:val="single" w:sz="4" w:color="BFBFBF"/>
              <w:right w:val="nil"/>
            </w:tcBorders>
          </w:tcPr>
          <w:p>
            <w:pPr>
              <w:spacing w:after="0" w:before="0"/>
              <w:jc w:val="right"/>
            </w:pPr>
            <w:r/>
            <w:r>
              <w:rPr>
                <w:rFonts w:ascii="Calibri" w:hAnsi="Calibri"/>
                <w:sz w:val="19"/>
              </w:rPr>
              <w:t>322</w:t>
            </w:r>
          </w:p>
        </w:tc>
        <w:tc>
          <w:tcPr>
            <w:tcW w:type="dxa" w:w="1077"/>
            <w:tcBorders>
              <w:top w:val="single" w:sz="4" w:color="BFBFBF"/>
              <w:left w:val="nil"/>
              <w:bottom w:val="single" w:sz="4" w:color="BFBFBF"/>
              <w:right w:val="nil"/>
            </w:tcBorders>
          </w:tcPr>
          <w:p>
            <w:pPr>
              <w:spacing w:after="0" w:before="0"/>
              <w:jc w:val="right"/>
            </w:pPr>
            <w:r/>
            <w:r>
              <w:rPr>
                <w:rFonts w:ascii="Calibri" w:hAnsi="Calibri"/>
                <w:sz w:val="19"/>
              </w:rPr>
              <w:t>—</w:t>
            </w:r>
          </w:p>
        </w:tc>
        <w:tc>
          <w:tcPr>
            <w:tcW w:type="dxa" w:w="2154"/>
            <w:tcBorders>
              <w:top w:val="single" w:sz="4" w:color="BFBFBF"/>
              <w:left w:val="nil"/>
              <w:bottom w:val="single" w:sz="4" w:color="BFBFBF"/>
              <w:right w:val="nil"/>
            </w:tcBorders>
          </w:tcPr>
          <w:p>
            <w:pPr>
              <w:spacing w:after="0" w:before="0"/>
            </w:pPr>
            <w:r/>
            <w:r>
              <w:rPr>
                <w:rFonts w:ascii="Calibri" w:hAnsi="Calibri"/>
                <w:sz w:val="19"/>
              </w:rPr>
              <w:t>≈ 25 vues par post récent</w:t>
            </w:r>
          </w:p>
        </w:tc>
      </w:tr>
      <w:tr>
        <w:tc>
          <w:tcPr>
            <w:tcW w:type="dxa" w:w="1134"/>
            <w:tcBorders>
              <w:top w:val="single" w:sz="4" w:color="BFBFBF"/>
              <w:left w:val="nil"/>
              <w:bottom w:val="single" w:sz="4" w:color="BFBFBF"/>
              <w:right w:val="nil"/>
            </w:tcBorders>
            <w:shd w:val="clear" w:color="auto" w:fill="F2F5FA"/>
          </w:tcPr>
          <w:p>
            <w:pPr>
              <w:spacing w:after="0" w:before="0"/>
            </w:pPr>
            <w:r/>
            <w:r>
              <w:rPr>
                <w:rFonts w:ascii="Calibri" w:hAnsi="Calibri"/>
                <w:sz w:val="19"/>
              </w:rPr>
              <w:t>Podcast</w:t>
            </w:r>
          </w:p>
        </w:tc>
        <w:tc>
          <w:tcPr>
            <w:tcW w:type="dxa" w:w="2041"/>
            <w:tcBorders>
              <w:top w:val="single" w:sz="4" w:color="BFBFBF"/>
              <w:left w:val="nil"/>
              <w:bottom w:val="single" w:sz="4" w:color="BFBFBF"/>
              <w:right w:val="nil"/>
            </w:tcBorders>
            <w:shd w:val="clear" w:color="auto" w:fill="F2F5FA"/>
          </w:tcPr>
          <w:p>
            <w:pPr>
              <w:spacing w:after="0" w:before="0"/>
            </w:pPr>
            <w:r/>
            <w:r>
              <w:rPr>
                <w:rFonts w:ascii="Calibri" w:hAnsi="Calibri"/>
                <w:sz w:val="19"/>
              </w:rPr>
              <w:t>Ausha, 18 épisodes de 47 à 60 min</w:t>
            </w:r>
          </w:p>
        </w:tc>
        <w:tc>
          <w:tcPr>
            <w:tcW w:type="dxa" w:w="1020"/>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w:t>
            </w:r>
          </w:p>
        </w:tc>
        <w:tc>
          <w:tcPr>
            <w:tcW w:type="dxa" w:w="1191"/>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18</w:t>
            </w:r>
          </w:p>
        </w:tc>
        <w:tc>
          <w:tcPr>
            <w:tcW w:type="dxa" w:w="107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w:t>
            </w:r>
          </w:p>
        </w:tc>
        <w:tc>
          <w:tcPr>
            <w:tcW w:type="dxa" w:w="2154"/>
            <w:tcBorders>
              <w:top w:val="single" w:sz="4" w:color="BFBFBF"/>
              <w:left w:val="nil"/>
              <w:bottom w:val="single" w:sz="4" w:color="BFBFBF"/>
              <w:right w:val="nil"/>
            </w:tcBorders>
            <w:shd w:val="clear" w:color="auto" w:fill="F2F5FA"/>
          </w:tcPr>
          <w:p>
            <w:pPr>
              <w:spacing w:after="0" w:before="0"/>
            </w:pPr>
            <w:r/>
            <w:r>
              <w:rPr>
                <w:rFonts w:ascii="Calibri" w:hAnsi="Calibri"/>
                <w:sz w:val="19"/>
              </w:rPr>
              <w:t>—</w:t>
            </w:r>
          </w:p>
        </w:tc>
      </w:tr>
    </w:tbl>
    <w:p>
      <w:pPr>
        <w:spacing w:after="240"/>
      </w:pPr>
      <w:r>
        <w:rPr>
          <w:i/>
          <w:color w:val="595959"/>
          <w:sz w:val="18"/>
        </w:rPr>
        <w:t>Relevé du 21 octobre 2026.</w:t>
      </w:r>
    </w:p>
    <w:p>
      <w:pPr>
        <w:pStyle w:val="Titre2"/>
        <w:spacing w:before="240" w:after="120"/>
      </w:pPr>
      <w:r>
        <w:t>Contenus Facebook les plus vus</w:t>
      </w:r>
    </w:p>
    <w:tbl>
      <w:tblPr>
        <w:jc w:val="center"/>
        <w:tblLook w:firstColumn="1" w:firstRow="1" w:lastColumn="0" w:lastRow="0" w:noHBand="0" w:noVBand="1" w:val="04A0"/>
        <w:tblW w:w="8617" w:type="dxa"/>
        <w:tblLayout w:type="fixed"/>
      </w:tblPr>
      <w:tblGrid>
        <w:gridCol w:w="510"/>
        <w:gridCol w:w="3685"/>
        <w:gridCol w:w="1134"/>
        <w:gridCol w:w="1304"/>
        <w:gridCol w:w="907"/>
        <w:gridCol w:w="1077"/>
      </w:tblGrid>
      <w:tr>
        <w:trPr>
          <w:tblHeader w:val="true"/>
        </w:trPr>
        <w:tc>
          <w:tcPr>
            <w:tcW w:type="dxa" w:w="510"/>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w:t>
            </w:r>
          </w:p>
        </w:tc>
        <w:tc>
          <w:tcPr>
            <w:tcW w:type="dxa" w:w="3685"/>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Contenu</w:t>
            </w:r>
          </w:p>
        </w:tc>
        <w:tc>
          <w:tcPr>
            <w:tcW w:type="dxa" w:w="1134"/>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Type</w:t>
            </w:r>
          </w:p>
        </w:tc>
        <w:tc>
          <w:tcPr>
            <w:tcW w:type="dxa" w:w="1304"/>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Date</w:t>
            </w:r>
          </w:p>
        </w:tc>
        <w:tc>
          <w:tcPr>
            <w:tcW w:type="dxa" w:w="907"/>
            <w:shd w:val="clear" w:color="auto" w:fill="2F5496"/>
            <w:tcBorders>
              <w:top w:val="single" w:sz="4" w:color="2F5496"/>
              <w:left w:val="nil"/>
              <w:bottom w:val="single" w:sz="4" w:color="2F5496"/>
              <w:right w:val="nil"/>
            </w:tcBorders>
          </w:tcPr>
          <w:p>
            <w:pPr>
              <w:spacing w:after="0" w:before="0"/>
              <w:jc w:val="right"/>
            </w:pPr>
            <w:r/>
            <w:r>
              <w:rPr>
                <w:rFonts w:ascii="Calibri" w:hAnsi="Calibri"/>
                <w:b/>
                <w:color w:val="FFFFFF"/>
                <w:sz w:val="19"/>
              </w:rPr>
              <w:t>Vues</w:t>
            </w:r>
          </w:p>
        </w:tc>
        <w:tc>
          <w:tcPr>
            <w:tcW w:type="dxa" w:w="1077"/>
            <w:shd w:val="clear" w:color="auto" w:fill="2F5496"/>
            <w:tcBorders>
              <w:top w:val="single" w:sz="4" w:color="2F5496"/>
              <w:left w:val="nil"/>
              <w:bottom w:val="single" w:sz="4" w:color="2F5496"/>
              <w:right w:val="nil"/>
            </w:tcBorders>
          </w:tcPr>
          <w:p>
            <w:pPr>
              <w:spacing w:after="0" w:before="0"/>
              <w:jc w:val="right"/>
            </w:pPr>
            <w:r/>
            <w:r>
              <w:rPr>
                <w:rFonts w:ascii="Calibri" w:hAnsi="Calibri"/>
                <w:b/>
                <w:color w:val="FFFFFF"/>
                <w:sz w:val="19"/>
              </w:rPr>
              <w:t>Réactions</w:t>
            </w:r>
          </w:p>
        </w:tc>
      </w:tr>
      <w:tr>
        <w:tc>
          <w:tcPr>
            <w:tcW w:type="dxa" w:w="510"/>
            <w:tcBorders>
              <w:top w:val="single" w:sz="4" w:color="BFBFBF"/>
              <w:left w:val="nil"/>
              <w:bottom w:val="single" w:sz="4" w:color="BFBFBF"/>
              <w:right w:val="nil"/>
            </w:tcBorders>
          </w:tcPr>
          <w:p>
            <w:pPr>
              <w:spacing w:after="0" w:before="0"/>
            </w:pPr>
            <w:r/>
            <w:r>
              <w:rPr>
                <w:rFonts w:ascii="Calibri" w:hAnsi="Calibri"/>
                <w:sz w:val="19"/>
              </w:rPr>
              <w:t>1</w:t>
            </w:r>
          </w:p>
        </w:tc>
        <w:tc>
          <w:tcPr>
            <w:tcW w:type="dxa" w:w="3685"/>
            <w:tcBorders>
              <w:top w:val="single" w:sz="4" w:color="BFBFBF"/>
              <w:left w:val="nil"/>
              <w:bottom w:val="single" w:sz="4" w:color="BFBFBF"/>
              <w:right w:val="nil"/>
            </w:tcBorders>
          </w:tcPr>
          <w:p>
            <w:pPr>
              <w:spacing w:after="0" w:before="0"/>
            </w:pPr>
            <w:r/>
            <w:r>
              <w:rPr>
                <w:rFonts w:ascii="Calibri" w:hAnsi="Calibri"/>
                <w:sz w:val="19"/>
              </w:rPr>
              <w:t>Frappes en Iran – Madagascar attire les Russes</w:t>
            </w:r>
          </w:p>
        </w:tc>
        <w:tc>
          <w:tcPr>
            <w:tcW w:type="dxa" w:w="1134"/>
            <w:tcBorders>
              <w:top w:val="single" w:sz="4" w:color="BFBFBF"/>
              <w:left w:val="nil"/>
              <w:bottom w:val="single" w:sz="4" w:color="BFBFBF"/>
              <w:right w:val="nil"/>
            </w:tcBorders>
          </w:tcPr>
          <w:p>
            <w:pPr>
              <w:spacing w:after="0" w:before="0"/>
            </w:pPr>
            <w:r/>
            <w:r>
              <w:rPr>
                <w:rFonts w:ascii="Calibri" w:hAnsi="Calibri"/>
                <w:sz w:val="19"/>
              </w:rPr>
              <w:t>Reel</w:t>
            </w:r>
          </w:p>
        </w:tc>
        <w:tc>
          <w:tcPr>
            <w:tcW w:type="dxa" w:w="1304"/>
            <w:tcBorders>
              <w:top w:val="single" w:sz="4" w:color="BFBFBF"/>
              <w:left w:val="nil"/>
              <w:bottom w:val="single" w:sz="4" w:color="BFBFBF"/>
              <w:right w:val="nil"/>
            </w:tcBorders>
          </w:tcPr>
          <w:p>
            <w:pPr>
              <w:spacing w:after="0" w:before="0"/>
            </w:pPr>
            <w:r/>
            <w:r>
              <w:rPr>
                <w:rFonts w:ascii="Calibri" w:hAnsi="Calibri"/>
                <w:sz w:val="19"/>
              </w:rPr>
              <w:t>15 mars 2026</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120 532</w:t>
            </w:r>
          </w:p>
        </w:tc>
        <w:tc>
          <w:tcPr>
            <w:tcW w:type="dxa" w:w="1077"/>
            <w:tcBorders>
              <w:top w:val="single" w:sz="4" w:color="BFBFBF"/>
              <w:left w:val="nil"/>
              <w:bottom w:val="single" w:sz="4" w:color="BFBFBF"/>
              <w:right w:val="nil"/>
            </w:tcBorders>
          </w:tcPr>
          <w:p>
            <w:pPr>
              <w:spacing w:after="0" w:before="0"/>
              <w:jc w:val="right"/>
            </w:pPr>
            <w:r/>
            <w:r>
              <w:rPr>
                <w:rFonts w:ascii="Calibri" w:hAnsi="Calibri"/>
                <w:sz w:val="19"/>
              </w:rPr>
              <w:t>1 227</w:t>
            </w:r>
          </w:p>
        </w:tc>
      </w:tr>
      <w:tr>
        <w:tc>
          <w:tcPr>
            <w:tcW w:type="dxa" w:w="510"/>
            <w:tcBorders>
              <w:top w:val="single" w:sz="4" w:color="BFBFBF"/>
              <w:left w:val="nil"/>
              <w:bottom w:val="single" w:sz="4" w:color="BFBFBF"/>
              <w:right w:val="nil"/>
            </w:tcBorders>
            <w:shd w:val="clear" w:color="auto" w:fill="F2F5FA"/>
          </w:tcPr>
          <w:p>
            <w:pPr>
              <w:spacing w:after="0" w:before="0"/>
            </w:pPr>
            <w:r/>
            <w:r>
              <w:rPr>
                <w:rFonts w:ascii="Calibri" w:hAnsi="Calibri"/>
                <w:sz w:val="19"/>
              </w:rPr>
              <w:t>2</w:t>
            </w:r>
          </w:p>
        </w:tc>
        <w:tc>
          <w:tcPr>
            <w:tcW w:type="dxa" w:w="3685"/>
            <w:tcBorders>
              <w:top w:val="single" w:sz="4" w:color="BFBFBF"/>
              <w:left w:val="nil"/>
              <w:bottom w:val="single" w:sz="4" w:color="BFBFBF"/>
              <w:right w:val="nil"/>
            </w:tcBorders>
            <w:shd w:val="clear" w:color="auto" w:fill="F2F5FA"/>
          </w:tcPr>
          <w:p>
            <w:pPr>
              <w:spacing w:after="0" w:before="0"/>
            </w:pPr>
            <w:r/>
            <w:r>
              <w:rPr>
                <w:rFonts w:ascii="Calibri" w:hAnsi="Calibri"/>
                <w:sz w:val="19"/>
              </w:rPr>
              <w:t>Frappes en Iran – Enjeux géopolitiques des ressources</w:t>
            </w:r>
          </w:p>
        </w:tc>
        <w:tc>
          <w:tcPr>
            <w:tcW w:type="dxa" w:w="1134"/>
            <w:tcBorders>
              <w:top w:val="single" w:sz="4" w:color="BFBFBF"/>
              <w:left w:val="nil"/>
              <w:bottom w:val="single" w:sz="4" w:color="BFBFBF"/>
              <w:right w:val="nil"/>
            </w:tcBorders>
            <w:shd w:val="clear" w:color="auto" w:fill="F2F5FA"/>
          </w:tcPr>
          <w:p>
            <w:pPr>
              <w:spacing w:after="0" w:before="0"/>
            </w:pPr>
            <w:r/>
            <w:r>
              <w:rPr>
                <w:rFonts w:ascii="Calibri" w:hAnsi="Calibri"/>
                <w:sz w:val="19"/>
              </w:rPr>
              <w:t>Reel</w:t>
            </w:r>
          </w:p>
        </w:tc>
        <w:tc>
          <w:tcPr>
            <w:tcW w:type="dxa" w:w="1304"/>
            <w:tcBorders>
              <w:top w:val="single" w:sz="4" w:color="BFBFBF"/>
              <w:left w:val="nil"/>
              <w:bottom w:val="single" w:sz="4" w:color="BFBFBF"/>
              <w:right w:val="nil"/>
            </w:tcBorders>
            <w:shd w:val="clear" w:color="auto" w:fill="F2F5FA"/>
          </w:tcPr>
          <w:p>
            <w:pPr>
              <w:spacing w:after="0" w:before="0"/>
            </w:pPr>
            <w:r/>
            <w:r>
              <w:rPr>
                <w:rFonts w:ascii="Calibri" w:hAnsi="Calibri"/>
                <w:sz w:val="19"/>
              </w:rPr>
              <w:t>26 mars 2026</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86 273</w:t>
            </w:r>
          </w:p>
        </w:tc>
        <w:tc>
          <w:tcPr>
            <w:tcW w:type="dxa" w:w="107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1 207</w:t>
            </w:r>
          </w:p>
        </w:tc>
      </w:tr>
      <w:tr>
        <w:tc>
          <w:tcPr>
            <w:tcW w:type="dxa" w:w="510"/>
            <w:tcBorders>
              <w:top w:val="single" w:sz="4" w:color="BFBFBF"/>
              <w:left w:val="nil"/>
              <w:bottom w:val="single" w:sz="4" w:color="BFBFBF"/>
              <w:right w:val="nil"/>
            </w:tcBorders>
          </w:tcPr>
          <w:p>
            <w:pPr>
              <w:spacing w:after="0" w:before="0"/>
            </w:pPr>
            <w:r/>
            <w:r>
              <w:rPr>
                <w:rFonts w:ascii="Calibri" w:hAnsi="Calibri"/>
                <w:sz w:val="19"/>
              </w:rPr>
              <w:t>3</w:t>
            </w:r>
          </w:p>
        </w:tc>
        <w:tc>
          <w:tcPr>
            <w:tcW w:type="dxa" w:w="3685"/>
            <w:tcBorders>
              <w:top w:val="single" w:sz="4" w:color="BFBFBF"/>
              <w:left w:val="nil"/>
              <w:bottom w:val="single" w:sz="4" w:color="BFBFBF"/>
              <w:right w:val="nil"/>
            </w:tcBorders>
          </w:tcPr>
          <w:p>
            <w:pPr>
              <w:spacing w:after="0" w:before="0"/>
            </w:pPr>
            <w:r/>
            <w:r>
              <w:rPr>
                <w:rFonts w:ascii="Calibri" w:hAnsi="Calibri"/>
                <w:sz w:val="19"/>
              </w:rPr>
              <w:t>Frappes en Iran – Madagascar et BRICS</w:t>
            </w:r>
          </w:p>
        </w:tc>
        <w:tc>
          <w:tcPr>
            <w:tcW w:type="dxa" w:w="1134"/>
            <w:tcBorders>
              <w:top w:val="single" w:sz="4" w:color="BFBFBF"/>
              <w:left w:val="nil"/>
              <w:bottom w:val="single" w:sz="4" w:color="BFBFBF"/>
              <w:right w:val="nil"/>
            </w:tcBorders>
          </w:tcPr>
          <w:p>
            <w:pPr>
              <w:spacing w:after="0" w:before="0"/>
            </w:pPr>
            <w:r/>
            <w:r>
              <w:rPr>
                <w:rFonts w:ascii="Calibri" w:hAnsi="Calibri"/>
                <w:sz w:val="19"/>
              </w:rPr>
              <w:t>Reel</w:t>
            </w:r>
          </w:p>
        </w:tc>
        <w:tc>
          <w:tcPr>
            <w:tcW w:type="dxa" w:w="1304"/>
            <w:tcBorders>
              <w:top w:val="single" w:sz="4" w:color="BFBFBF"/>
              <w:left w:val="nil"/>
              <w:bottom w:val="single" w:sz="4" w:color="BFBFBF"/>
              <w:right w:val="nil"/>
            </w:tcBorders>
          </w:tcPr>
          <w:p>
            <w:pPr>
              <w:spacing w:after="0" w:before="0"/>
            </w:pPr>
            <w:r/>
            <w:r>
              <w:rPr>
                <w:rFonts w:ascii="Calibri" w:hAnsi="Calibri"/>
                <w:sz w:val="19"/>
              </w:rPr>
              <w:t>22 avr. 2026</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74 624</w:t>
            </w:r>
          </w:p>
        </w:tc>
        <w:tc>
          <w:tcPr>
            <w:tcW w:type="dxa" w:w="1077"/>
            <w:tcBorders>
              <w:top w:val="single" w:sz="4" w:color="BFBFBF"/>
              <w:left w:val="nil"/>
              <w:bottom w:val="single" w:sz="4" w:color="BFBFBF"/>
              <w:right w:val="nil"/>
            </w:tcBorders>
          </w:tcPr>
          <w:p>
            <w:pPr>
              <w:spacing w:after="0" w:before="0"/>
              <w:jc w:val="right"/>
            </w:pPr>
            <w:r/>
            <w:r>
              <w:rPr>
                <w:rFonts w:ascii="Calibri" w:hAnsi="Calibri"/>
                <w:sz w:val="19"/>
              </w:rPr>
              <w:t>846</w:t>
            </w:r>
          </w:p>
        </w:tc>
      </w:tr>
      <w:tr>
        <w:tc>
          <w:tcPr>
            <w:tcW w:type="dxa" w:w="510"/>
            <w:tcBorders>
              <w:top w:val="single" w:sz="4" w:color="BFBFBF"/>
              <w:left w:val="nil"/>
              <w:bottom w:val="single" w:sz="4" w:color="BFBFBF"/>
              <w:right w:val="nil"/>
            </w:tcBorders>
            <w:shd w:val="clear" w:color="auto" w:fill="F2F5FA"/>
          </w:tcPr>
          <w:p>
            <w:pPr>
              <w:spacing w:after="0" w:before="0"/>
            </w:pPr>
            <w:r/>
            <w:r>
              <w:rPr>
                <w:rFonts w:ascii="Calibri" w:hAnsi="Calibri"/>
                <w:sz w:val="19"/>
              </w:rPr>
              <w:t>4</w:t>
            </w:r>
          </w:p>
        </w:tc>
        <w:tc>
          <w:tcPr>
            <w:tcW w:type="dxa" w:w="3685"/>
            <w:tcBorders>
              <w:top w:val="single" w:sz="4" w:color="BFBFBF"/>
              <w:left w:val="nil"/>
              <w:bottom w:val="single" w:sz="4" w:color="BFBFBF"/>
              <w:right w:val="nil"/>
            </w:tcBorders>
            <w:shd w:val="clear" w:color="auto" w:fill="F2F5FA"/>
          </w:tcPr>
          <w:p>
            <w:pPr>
              <w:spacing w:after="0" w:before="0"/>
            </w:pPr>
            <w:r/>
            <w:r>
              <w:rPr>
                <w:rFonts w:ascii="Calibri" w:hAnsi="Calibri"/>
                <w:sz w:val="19"/>
              </w:rPr>
              <w:t>Madagascar 1 an après – Amélioration énergétique ?</w:t>
            </w:r>
          </w:p>
        </w:tc>
        <w:tc>
          <w:tcPr>
            <w:tcW w:type="dxa" w:w="1134"/>
            <w:tcBorders>
              <w:top w:val="single" w:sz="4" w:color="BFBFBF"/>
              <w:left w:val="nil"/>
              <w:bottom w:val="single" w:sz="4" w:color="BFBFBF"/>
              <w:right w:val="nil"/>
            </w:tcBorders>
            <w:shd w:val="clear" w:color="auto" w:fill="F2F5FA"/>
          </w:tcPr>
          <w:p>
            <w:pPr>
              <w:spacing w:after="0" w:before="0"/>
            </w:pPr>
            <w:r/>
            <w:r>
              <w:rPr>
                <w:rFonts w:ascii="Calibri" w:hAnsi="Calibri"/>
                <w:sz w:val="19"/>
              </w:rPr>
              <w:t>Reel</w:t>
            </w:r>
          </w:p>
        </w:tc>
        <w:tc>
          <w:tcPr>
            <w:tcW w:type="dxa" w:w="1304"/>
            <w:tcBorders>
              <w:top w:val="single" w:sz="4" w:color="BFBFBF"/>
              <w:left w:val="nil"/>
              <w:bottom w:val="single" w:sz="4" w:color="BFBFBF"/>
              <w:right w:val="nil"/>
            </w:tcBorders>
            <w:shd w:val="clear" w:color="auto" w:fill="F2F5FA"/>
          </w:tcPr>
          <w:p>
            <w:pPr>
              <w:spacing w:after="0" w:before="0"/>
            </w:pPr>
            <w:r/>
            <w:r>
              <w:rPr>
                <w:rFonts w:ascii="Calibri" w:hAnsi="Calibri"/>
                <w:sz w:val="19"/>
              </w:rPr>
              <w:t>8 oct. 2026</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60 671</w:t>
            </w:r>
          </w:p>
        </w:tc>
        <w:tc>
          <w:tcPr>
            <w:tcW w:type="dxa" w:w="107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782</w:t>
            </w:r>
          </w:p>
        </w:tc>
      </w:tr>
      <w:tr>
        <w:tc>
          <w:tcPr>
            <w:tcW w:type="dxa" w:w="510"/>
            <w:tcBorders>
              <w:top w:val="single" w:sz="4" w:color="BFBFBF"/>
              <w:left w:val="nil"/>
              <w:bottom w:val="single" w:sz="4" w:color="BFBFBF"/>
              <w:right w:val="nil"/>
            </w:tcBorders>
          </w:tcPr>
          <w:p>
            <w:pPr>
              <w:spacing w:after="0" w:before="0"/>
            </w:pPr>
            <w:r/>
            <w:r>
              <w:rPr>
                <w:rFonts w:ascii="Calibri" w:hAnsi="Calibri"/>
                <w:sz w:val="19"/>
              </w:rPr>
              <w:t>5</w:t>
            </w:r>
          </w:p>
        </w:tc>
        <w:tc>
          <w:tcPr>
            <w:tcW w:type="dxa" w:w="3685"/>
            <w:tcBorders>
              <w:top w:val="single" w:sz="4" w:color="BFBFBF"/>
              <w:left w:val="nil"/>
              <w:bottom w:val="single" w:sz="4" w:color="BFBFBF"/>
              <w:right w:val="nil"/>
            </w:tcBorders>
          </w:tcPr>
          <w:p>
            <w:pPr>
              <w:spacing w:after="0" w:before="0"/>
            </w:pPr>
            <w:r/>
            <w:r>
              <w:rPr>
                <w:rFonts w:ascii="Calibri" w:hAnsi="Calibri"/>
                <w:sz w:val="19"/>
              </w:rPr>
              <w:t>Podcast #18 – L'État est-il une greffe qui n'a pas pris ?</w:t>
            </w:r>
          </w:p>
        </w:tc>
        <w:tc>
          <w:tcPr>
            <w:tcW w:type="dxa" w:w="1134"/>
            <w:tcBorders>
              <w:top w:val="single" w:sz="4" w:color="BFBFBF"/>
              <w:left w:val="nil"/>
              <w:bottom w:val="single" w:sz="4" w:color="BFBFBF"/>
              <w:right w:val="nil"/>
            </w:tcBorders>
          </w:tcPr>
          <w:p>
            <w:pPr>
              <w:spacing w:after="0" w:before="0"/>
            </w:pPr>
            <w:r/>
            <w:r>
              <w:rPr>
                <w:rFonts w:ascii="Calibri" w:hAnsi="Calibri"/>
                <w:sz w:val="19"/>
              </w:rPr>
              <w:t>Publication</w:t>
            </w:r>
          </w:p>
        </w:tc>
        <w:tc>
          <w:tcPr>
            <w:tcW w:type="dxa" w:w="1304"/>
            <w:tcBorders>
              <w:top w:val="single" w:sz="4" w:color="BFBFBF"/>
              <w:left w:val="nil"/>
              <w:bottom w:val="single" w:sz="4" w:color="BFBFBF"/>
              <w:right w:val="nil"/>
            </w:tcBorders>
          </w:tcPr>
          <w:p>
            <w:pPr>
              <w:spacing w:after="0" w:before="0"/>
            </w:pPr>
            <w:r/>
            <w:r>
              <w:rPr>
                <w:rFonts w:ascii="Calibri" w:hAnsi="Calibri"/>
                <w:sz w:val="19"/>
              </w:rPr>
              <w:t>10 oct. 2026</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51 932</w:t>
            </w:r>
          </w:p>
        </w:tc>
        <w:tc>
          <w:tcPr>
            <w:tcW w:type="dxa" w:w="1077"/>
            <w:tcBorders>
              <w:top w:val="single" w:sz="4" w:color="BFBFBF"/>
              <w:left w:val="nil"/>
              <w:bottom w:val="single" w:sz="4" w:color="BFBFBF"/>
              <w:right w:val="nil"/>
            </w:tcBorders>
          </w:tcPr>
          <w:p>
            <w:pPr>
              <w:spacing w:after="0" w:before="0"/>
              <w:jc w:val="right"/>
            </w:pPr>
            <w:r/>
            <w:r>
              <w:rPr>
                <w:rFonts w:ascii="Calibri" w:hAnsi="Calibri"/>
                <w:sz w:val="19"/>
              </w:rPr>
              <w:t>434</w:t>
            </w:r>
          </w:p>
        </w:tc>
      </w:tr>
      <w:tr>
        <w:tc>
          <w:tcPr>
            <w:tcW w:type="dxa" w:w="510"/>
            <w:tcBorders>
              <w:top w:val="single" w:sz="4" w:color="BFBFBF"/>
              <w:left w:val="nil"/>
              <w:bottom w:val="single" w:sz="4" w:color="BFBFBF"/>
              <w:right w:val="nil"/>
            </w:tcBorders>
            <w:shd w:val="clear" w:color="auto" w:fill="F2F5FA"/>
          </w:tcPr>
          <w:p>
            <w:pPr>
              <w:spacing w:after="0" w:before="0"/>
            </w:pPr>
            <w:r/>
            <w:r>
              <w:rPr>
                <w:rFonts w:ascii="Calibri" w:hAnsi="Calibri"/>
                <w:sz w:val="19"/>
              </w:rPr>
              <w:t>6</w:t>
            </w:r>
          </w:p>
        </w:tc>
        <w:tc>
          <w:tcPr>
            <w:tcW w:type="dxa" w:w="3685"/>
            <w:tcBorders>
              <w:top w:val="single" w:sz="4" w:color="BFBFBF"/>
              <w:left w:val="nil"/>
              <w:bottom w:val="single" w:sz="4" w:color="BFBFBF"/>
              <w:right w:val="nil"/>
            </w:tcBorders>
            <w:shd w:val="clear" w:color="auto" w:fill="F2F5FA"/>
          </w:tcPr>
          <w:p>
            <w:pPr>
              <w:spacing w:after="0" w:before="0"/>
            </w:pPr>
            <w:r/>
            <w:r>
              <w:rPr>
                <w:rFonts w:ascii="Calibri" w:hAnsi="Calibri"/>
                <w:sz w:val="19"/>
              </w:rPr>
              <w:t>France-Madagascar : une crise diplomatique ?</w:t>
            </w:r>
          </w:p>
        </w:tc>
        <w:tc>
          <w:tcPr>
            <w:tcW w:type="dxa" w:w="1134"/>
            <w:tcBorders>
              <w:top w:val="single" w:sz="4" w:color="BFBFBF"/>
              <w:left w:val="nil"/>
              <w:bottom w:val="single" w:sz="4" w:color="BFBFBF"/>
              <w:right w:val="nil"/>
            </w:tcBorders>
            <w:shd w:val="clear" w:color="auto" w:fill="F2F5FA"/>
          </w:tcPr>
          <w:p>
            <w:pPr>
              <w:spacing w:after="0" w:before="0"/>
            </w:pPr>
            <w:r/>
            <w:r>
              <w:rPr>
                <w:rFonts w:ascii="Calibri" w:hAnsi="Calibri"/>
                <w:sz w:val="19"/>
              </w:rPr>
              <w:t>Reel</w:t>
            </w:r>
          </w:p>
        </w:tc>
        <w:tc>
          <w:tcPr>
            <w:tcW w:type="dxa" w:w="1304"/>
            <w:tcBorders>
              <w:top w:val="single" w:sz="4" w:color="BFBFBF"/>
              <w:left w:val="nil"/>
              <w:bottom w:val="single" w:sz="4" w:color="BFBFBF"/>
              <w:right w:val="nil"/>
            </w:tcBorders>
            <w:shd w:val="clear" w:color="auto" w:fill="F2F5FA"/>
          </w:tcPr>
          <w:p>
            <w:pPr>
              <w:spacing w:after="0" w:before="0"/>
            </w:pPr>
            <w:r/>
            <w:r>
              <w:rPr>
                <w:rFonts w:ascii="Calibri" w:hAnsi="Calibri"/>
                <w:sz w:val="19"/>
              </w:rPr>
              <w:t>25 févr. 2026</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46 378</w:t>
            </w:r>
          </w:p>
        </w:tc>
        <w:tc>
          <w:tcPr>
            <w:tcW w:type="dxa" w:w="107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493</w:t>
            </w:r>
          </w:p>
        </w:tc>
      </w:tr>
      <w:tr>
        <w:tc>
          <w:tcPr>
            <w:tcW w:type="dxa" w:w="510"/>
            <w:tcBorders>
              <w:top w:val="single" w:sz="4" w:color="BFBFBF"/>
              <w:left w:val="nil"/>
              <w:bottom w:val="single" w:sz="4" w:color="BFBFBF"/>
              <w:right w:val="nil"/>
            </w:tcBorders>
          </w:tcPr>
          <w:p>
            <w:pPr>
              <w:spacing w:after="0" w:before="0"/>
            </w:pPr>
            <w:r/>
            <w:r>
              <w:rPr>
                <w:rFonts w:ascii="Calibri" w:hAnsi="Calibri"/>
                <w:sz w:val="19"/>
              </w:rPr>
              <w:t>7</w:t>
            </w:r>
          </w:p>
        </w:tc>
        <w:tc>
          <w:tcPr>
            <w:tcW w:type="dxa" w:w="3685"/>
            <w:tcBorders>
              <w:top w:val="single" w:sz="4" w:color="BFBFBF"/>
              <w:left w:val="nil"/>
              <w:bottom w:val="single" w:sz="4" w:color="BFBFBF"/>
              <w:right w:val="nil"/>
            </w:tcBorders>
          </w:tcPr>
          <w:p>
            <w:pPr>
              <w:spacing w:after="0" w:before="0"/>
            </w:pPr>
            <w:r/>
            <w:r>
              <w:rPr>
                <w:rFonts w:ascii="Calibri" w:hAnsi="Calibri"/>
                <w:sz w:val="19"/>
              </w:rPr>
              <w:t>Frappes en Iran – Madagascar entre étau et opportunité</w:t>
            </w:r>
          </w:p>
        </w:tc>
        <w:tc>
          <w:tcPr>
            <w:tcW w:type="dxa" w:w="1134"/>
            <w:tcBorders>
              <w:top w:val="single" w:sz="4" w:color="BFBFBF"/>
              <w:left w:val="nil"/>
              <w:bottom w:val="single" w:sz="4" w:color="BFBFBF"/>
              <w:right w:val="nil"/>
            </w:tcBorders>
          </w:tcPr>
          <w:p>
            <w:pPr>
              <w:spacing w:after="0" w:before="0"/>
            </w:pPr>
            <w:r/>
            <w:r>
              <w:rPr>
                <w:rFonts w:ascii="Calibri" w:hAnsi="Calibri"/>
                <w:sz w:val="19"/>
              </w:rPr>
              <w:t>Reel</w:t>
            </w:r>
          </w:p>
        </w:tc>
        <w:tc>
          <w:tcPr>
            <w:tcW w:type="dxa" w:w="1304"/>
            <w:tcBorders>
              <w:top w:val="single" w:sz="4" w:color="BFBFBF"/>
              <w:left w:val="nil"/>
              <w:bottom w:val="single" w:sz="4" w:color="BFBFBF"/>
              <w:right w:val="nil"/>
            </w:tcBorders>
          </w:tcPr>
          <w:p>
            <w:pPr>
              <w:spacing w:after="0" w:before="0"/>
            </w:pPr>
            <w:r/>
            <w:r>
              <w:rPr>
                <w:rFonts w:ascii="Calibri" w:hAnsi="Calibri"/>
                <w:sz w:val="19"/>
              </w:rPr>
              <w:t>1 avr. 2026</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23 550</w:t>
            </w:r>
          </w:p>
        </w:tc>
        <w:tc>
          <w:tcPr>
            <w:tcW w:type="dxa" w:w="1077"/>
            <w:tcBorders>
              <w:top w:val="single" w:sz="4" w:color="BFBFBF"/>
              <w:left w:val="nil"/>
              <w:bottom w:val="single" w:sz="4" w:color="BFBFBF"/>
              <w:right w:val="nil"/>
            </w:tcBorders>
          </w:tcPr>
          <w:p>
            <w:pPr>
              <w:spacing w:after="0" w:before="0"/>
              <w:jc w:val="right"/>
            </w:pPr>
            <w:r/>
            <w:r>
              <w:rPr>
                <w:rFonts w:ascii="Calibri" w:hAnsi="Calibri"/>
                <w:sz w:val="19"/>
              </w:rPr>
              <w:t>240</w:t>
            </w:r>
          </w:p>
        </w:tc>
      </w:tr>
      <w:tr>
        <w:tc>
          <w:tcPr>
            <w:tcW w:type="dxa" w:w="510"/>
            <w:tcBorders>
              <w:top w:val="single" w:sz="4" w:color="BFBFBF"/>
              <w:left w:val="nil"/>
              <w:bottom w:val="single" w:sz="4" w:color="BFBFBF"/>
              <w:right w:val="nil"/>
            </w:tcBorders>
            <w:shd w:val="clear" w:color="auto" w:fill="F2F5FA"/>
          </w:tcPr>
          <w:p>
            <w:pPr>
              <w:spacing w:after="0" w:before="0"/>
            </w:pPr>
            <w:r/>
            <w:r>
              <w:rPr>
                <w:rFonts w:ascii="Calibri" w:hAnsi="Calibri"/>
                <w:sz w:val="19"/>
              </w:rPr>
              <w:t>8</w:t>
            </w:r>
          </w:p>
        </w:tc>
        <w:tc>
          <w:tcPr>
            <w:tcW w:type="dxa" w:w="3685"/>
            <w:tcBorders>
              <w:top w:val="single" w:sz="4" w:color="BFBFBF"/>
              <w:left w:val="nil"/>
              <w:bottom w:val="single" w:sz="4" w:color="BFBFBF"/>
              <w:right w:val="nil"/>
            </w:tcBorders>
            <w:shd w:val="clear" w:color="auto" w:fill="F2F5FA"/>
          </w:tcPr>
          <w:p>
            <w:pPr>
              <w:spacing w:after="0" w:before="0"/>
            </w:pPr>
            <w:r/>
            <w:r>
              <w:rPr>
                <w:rFonts w:ascii="Calibri" w:hAnsi="Calibri"/>
                <w:sz w:val="19"/>
              </w:rPr>
              <w:t>Frappes en Iran – Madagascar : stratégie</w:t>
            </w:r>
          </w:p>
        </w:tc>
        <w:tc>
          <w:tcPr>
            <w:tcW w:type="dxa" w:w="1134"/>
            <w:tcBorders>
              <w:top w:val="single" w:sz="4" w:color="BFBFBF"/>
              <w:left w:val="nil"/>
              <w:bottom w:val="single" w:sz="4" w:color="BFBFBF"/>
              <w:right w:val="nil"/>
            </w:tcBorders>
            <w:shd w:val="clear" w:color="auto" w:fill="F2F5FA"/>
          </w:tcPr>
          <w:p>
            <w:pPr>
              <w:spacing w:after="0" w:before="0"/>
            </w:pPr>
            <w:r/>
            <w:r>
              <w:rPr>
                <w:rFonts w:ascii="Calibri" w:hAnsi="Calibri"/>
                <w:sz w:val="19"/>
              </w:rPr>
              <w:t>Reel</w:t>
            </w:r>
          </w:p>
        </w:tc>
        <w:tc>
          <w:tcPr>
            <w:tcW w:type="dxa" w:w="1304"/>
            <w:tcBorders>
              <w:top w:val="single" w:sz="4" w:color="BFBFBF"/>
              <w:left w:val="nil"/>
              <w:bottom w:val="single" w:sz="4" w:color="BFBFBF"/>
              <w:right w:val="nil"/>
            </w:tcBorders>
            <w:shd w:val="clear" w:color="auto" w:fill="F2F5FA"/>
          </w:tcPr>
          <w:p>
            <w:pPr>
              <w:spacing w:after="0" w:before="0"/>
            </w:pPr>
            <w:r/>
            <w:r>
              <w:rPr>
                <w:rFonts w:ascii="Calibri" w:hAnsi="Calibri"/>
                <w:sz w:val="19"/>
              </w:rPr>
              <w:t>28 mars 2026</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23 053</w:t>
            </w:r>
          </w:p>
        </w:tc>
        <w:tc>
          <w:tcPr>
            <w:tcW w:type="dxa" w:w="107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465</w:t>
            </w:r>
          </w:p>
        </w:tc>
      </w:tr>
      <w:tr>
        <w:tc>
          <w:tcPr>
            <w:tcW w:type="dxa" w:w="510"/>
            <w:tcBorders>
              <w:top w:val="single" w:sz="4" w:color="BFBFBF"/>
              <w:left w:val="nil"/>
              <w:bottom w:val="single" w:sz="4" w:color="BFBFBF"/>
              <w:right w:val="nil"/>
            </w:tcBorders>
          </w:tcPr>
          <w:p>
            <w:pPr>
              <w:spacing w:after="0" w:before="0"/>
            </w:pPr>
            <w:r/>
            <w:r>
              <w:rPr>
                <w:rFonts w:ascii="Calibri" w:hAnsi="Calibri"/>
                <w:sz w:val="19"/>
              </w:rPr>
              <w:t>9</w:t>
            </w:r>
          </w:p>
        </w:tc>
        <w:tc>
          <w:tcPr>
            <w:tcW w:type="dxa" w:w="3685"/>
            <w:tcBorders>
              <w:top w:val="single" w:sz="4" w:color="BFBFBF"/>
              <w:left w:val="nil"/>
              <w:bottom w:val="single" w:sz="4" w:color="BFBFBF"/>
              <w:right w:val="nil"/>
            </w:tcBorders>
          </w:tcPr>
          <w:p>
            <w:pPr>
              <w:spacing w:after="0" w:before="0"/>
            </w:pPr>
            <w:r/>
            <w:r>
              <w:rPr>
                <w:rFonts w:ascii="Calibri" w:hAnsi="Calibri"/>
                <w:sz w:val="19"/>
              </w:rPr>
              <w:t>Frappes en Iran – Madagascar : France et…</w:t>
            </w:r>
          </w:p>
        </w:tc>
        <w:tc>
          <w:tcPr>
            <w:tcW w:type="dxa" w:w="1134"/>
            <w:tcBorders>
              <w:top w:val="single" w:sz="4" w:color="BFBFBF"/>
              <w:left w:val="nil"/>
              <w:bottom w:val="single" w:sz="4" w:color="BFBFBF"/>
              <w:right w:val="nil"/>
            </w:tcBorders>
          </w:tcPr>
          <w:p>
            <w:pPr>
              <w:spacing w:after="0" w:before="0"/>
            </w:pPr>
            <w:r/>
            <w:r>
              <w:rPr>
                <w:rFonts w:ascii="Calibri" w:hAnsi="Calibri"/>
                <w:sz w:val="19"/>
              </w:rPr>
              <w:t>Reel</w:t>
            </w:r>
          </w:p>
        </w:tc>
        <w:tc>
          <w:tcPr>
            <w:tcW w:type="dxa" w:w="1304"/>
            <w:tcBorders>
              <w:top w:val="single" w:sz="4" w:color="BFBFBF"/>
              <w:left w:val="nil"/>
              <w:bottom w:val="single" w:sz="4" w:color="BFBFBF"/>
              <w:right w:val="nil"/>
            </w:tcBorders>
          </w:tcPr>
          <w:p>
            <w:pPr>
              <w:spacing w:after="0" w:before="0"/>
            </w:pPr>
            <w:r/>
            <w:r>
              <w:rPr>
                <w:rFonts w:ascii="Calibri" w:hAnsi="Calibri"/>
                <w:sz w:val="19"/>
              </w:rPr>
              <w:t>5 avr. 2026</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19 824</w:t>
            </w:r>
          </w:p>
        </w:tc>
        <w:tc>
          <w:tcPr>
            <w:tcW w:type="dxa" w:w="1077"/>
            <w:tcBorders>
              <w:top w:val="single" w:sz="4" w:color="BFBFBF"/>
              <w:left w:val="nil"/>
              <w:bottom w:val="single" w:sz="4" w:color="BFBFBF"/>
              <w:right w:val="nil"/>
            </w:tcBorders>
          </w:tcPr>
          <w:p>
            <w:pPr>
              <w:spacing w:after="0" w:before="0"/>
              <w:jc w:val="right"/>
            </w:pPr>
            <w:r/>
            <w:r>
              <w:rPr>
                <w:rFonts w:ascii="Calibri" w:hAnsi="Calibri"/>
                <w:sz w:val="19"/>
              </w:rPr>
              <w:t>207</w:t>
            </w:r>
          </w:p>
        </w:tc>
      </w:tr>
      <w:tr>
        <w:tc>
          <w:tcPr>
            <w:tcW w:type="dxa" w:w="510"/>
            <w:tcBorders>
              <w:top w:val="single" w:sz="4" w:color="BFBFBF"/>
              <w:left w:val="nil"/>
              <w:bottom w:val="single" w:sz="4" w:color="BFBFBF"/>
              <w:right w:val="nil"/>
            </w:tcBorders>
            <w:shd w:val="clear" w:color="auto" w:fill="F2F5FA"/>
          </w:tcPr>
          <w:p>
            <w:pPr>
              <w:spacing w:after="0" w:before="0"/>
            </w:pPr>
            <w:r/>
            <w:r>
              <w:rPr>
                <w:rFonts w:ascii="Calibri" w:hAnsi="Calibri"/>
                <w:sz w:val="19"/>
              </w:rPr>
              <w:t>10</w:t>
            </w:r>
          </w:p>
        </w:tc>
        <w:tc>
          <w:tcPr>
            <w:tcW w:type="dxa" w:w="3685"/>
            <w:tcBorders>
              <w:top w:val="single" w:sz="4" w:color="BFBFBF"/>
              <w:left w:val="nil"/>
              <w:bottom w:val="single" w:sz="4" w:color="BFBFBF"/>
              <w:right w:val="nil"/>
            </w:tcBorders>
            <w:shd w:val="clear" w:color="auto" w:fill="F2F5FA"/>
          </w:tcPr>
          <w:p>
            <w:pPr>
              <w:spacing w:after="0" w:before="0"/>
            </w:pPr>
            <w:r/>
            <w:r>
              <w:rPr>
                <w:rFonts w:ascii="Calibri" w:hAnsi="Calibri"/>
                <w:sz w:val="19"/>
              </w:rPr>
              <w:t>Frappes en Iran – Madagascar : enjeux stratégiques</w:t>
            </w:r>
          </w:p>
        </w:tc>
        <w:tc>
          <w:tcPr>
            <w:tcW w:type="dxa" w:w="1134"/>
            <w:tcBorders>
              <w:top w:val="single" w:sz="4" w:color="BFBFBF"/>
              <w:left w:val="nil"/>
              <w:bottom w:val="single" w:sz="4" w:color="BFBFBF"/>
              <w:right w:val="nil"/>
            </w:tcBorders>
            <w:shd w:val="clear" w:color="auto" w:fill="F2F5FA"/>
          </w:tcPr>
          <w:p>
            <w:pPr>
              <w:spacing w:after="0" w:before="0"/>
            </w:pPr>
            <w:r/>
            <w:r>
              <w:rPr>
                <w:rFonts w:ascii="Calibri" w:hAnsi="Calibri"/>
                <w:sz w:val="19"/>
              </w:rPr>
              <w:t>Reel</w:t>
            </w:r>
          </w:p>
        </w:tc>
        <w:tc>
          <w:tcPr>
            <w:tcW w:type="dxa" w:w="1304"/>
            <w:tcBorders>
              <w:top w:val="single" w:sz="4" w:color="BFBFBF"/>
              <w:left w:val="nil"/>
              <w:bottom w:val="single" w:sz="4" w:color="BFBFBF"/>
              <w:right w:val="nil"/>
            </w:tcBorders>
            <w:shd w:val="clear" w:color="auto" w:fill="F2F5FA"/>
          </w:tcPr>
          <w:p>
            <w:pPr>
              <w:spacing w:after="0" w:before="0"/>
            </w:pPr>
            <w:r/>
            <w:r>
              <w:rPr>
                <w:rFonts w:ascii="Calibri" w:hAnsi="Calibri"/>
                <w:sz w:val="19"/>
              </w:rPr>
              <w:t>11 avr. 2026</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18 928</w:t>
            </w:r>
          </w:p>
        </w:tc>
        <w:tc>
          <w:tcPr>
            <w:tcW w:type="dxa" w:w="107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327</w:t>
            </w:r>
          </w:p>
        </w:tc>
      </w:tr>
      <w:tr>
        <w:tc>
          <w:tcPr>
            <w:tcW w:type="dxa" w:w="510"/>
            <w:tcBorders>
              <w:top w:val="single" w:sz="4" w:color="BFBFBF"/>
              <w:left w:val="nil"/>
              <w:bottom w:val="single" w:sz="4" w:color="BFBFBF"/>
              <w:right w:val="nil"/>
            </w:tcBorders>
          </w:tcPr>
          <w:p>
            <w:pPr>
              <w:spacing w:after="0" w:before="0"/>
            </w:pPr>
            <w:r/>
            <w:r>
              <w:rPr>
                <w:rFonts w:ascii="Calibri" w:hAnsi="Calibri"/>
                <w:sz w:val="19"/>
              </w:rPr>
              <w:t>11</w:t>
            </w:r>
          </w:p>
        </w:tc>
        <w:tc>
          <w:tcPr>
            <w:tcW w:type="dxa" w:w="3685"/>
            <w:tcBorders>
              <w:top w:val="single" w:sz="4" w:color="BFBFBF"/>
              <w:left w:val="nil"/>
              <w:bottom w:val="single" w:sz="4" w:color="BFBFBF"/>
              <w:right w:val="nil"/>
            </w:tcBorders>
          </w:tcPr>
          <w:p>
            <w:pPr>
              <w:spacing w:after="0" w:before="0"/>
            </w:pPr>
            <w:r/>
            <w:r>
              <w:rPr>
                <w:rFonts w:ascii="Calibri" w:hAnsi="Calibri"/>
                <w:sz w:val="19"/>
              </w:rPr>
              <w:t>Architecture de la dépendance – L'État a…</w:t>
            </w:r>
          </w:p>
        </w:tc>
        <w:tc>
          <w:tcPr>
            <w:tcW w:type="dxa" w:w="1134"/>
            <w:tcBorders>
              <w:top w:val="single" w:sz="4" w:color="BFBFBF"/>
              <w:left w:val="nil"/>
              <w:bottom w:val="single" w:sz="4" w:color="BFBFBF"/>
              <w:right w:val="nil"/>
            </w:tcBorders>
          </w:tcPr>
          <w:p>
            <w:pPr>
              <w:spacing w:after="0" w:before="0"/>
            </w:pPr>
            <w:r/>
            <w:r>
              <w:rPr>
                <w:rFonts w:ascii="Calibri" w:hAnsi="Calibri"/>
                <w:sz w:val="19"/>
              </w:rPr>
              <w:t>Reel</w:t>
            </w:r>
          </w:p>
        </w:tc>
        <w:tc>
          <w:tcPr>
            <w:tcW w:type="dxa" w:w="1304"/>
            <w:tcBorders>
              <w:top w:val="single" w:sz="4" w:color="BFBFBF"/>
              <w:left w:val="nil"/>
              <w:bottom w:val="single" w:sz="4" w:color="BFBFBF"/>
              <w:right w:val="nil"/>
            </w:tcBorders>
          </w:tcPr>
          <w:p>
            <w:pPr>
              <w:spacing w:after="0" w:before="0"/>
            </w:pPr>
            <w:r/>
            <w:r>
              <w:rPr>
                <w:rFonts w:ascii="Calibri" w:hAnsi="Calibri"/>
                <w:sz w:val="19"/>
              </w:rPr>
              <w:t>14 févr. 2026</w:t>
            </w:r>
          </w:p>
        </w:tc>
        <w:tc>
          <w:tcPr>
            <w:tcW w:type="dxa" w:w="907"/>
            <w:tcBorders>
              <w:top w:val="single" w:sz="4" w:color="BFBFBF"/>
              <w:left w:val="nil"/>
              <w:bottom w:val="single" w:sz="4" w:color="BFBFBF"/>
              <w:right w:val="nil"/>
            </w:tcBorders>
          </w:tcPr>
          <w:p>
            <w:pPr>
              <w:spacing w:after="0" w:before="0"/>
              <w:jc w:val="right"/>
            </w:pPr>
            <w:r/>
            <w:r>
              <w:rPr>
                <w:rFonts w:ascii="Calibri" w:hAnsi="Calibri"/>
                <w:sz w:val="19"/>
              </w:rPr>
              <w:t>13 990</w:t>
            </w:r>
          </w:p>
        </w:tc>
        <w:tc>
          <w:tcPr>
            <w:tcW w:type="dxa" w:w="1077"/>
            <w:tcBorders>
              <w:top w:val="single" w:sz="4" w:color="BFBFBF"/>
              <w:left w:val="nil"/>
              <w:bottom w:val="single" w:sz="4" w:color="BFBFBF"/>
              <w:right w:val="nil"/>
            </w:tcBorders>
          </w:tcPr>
          <w:p>
            <w:pPr>
              <w:spacing w:after="0" w:before="0"/>
              <w:jc w:val="right"/>
            </w:pPr>
            <w:r/>
            <w:r>
              <w:rPr>
                <w:rFonts w:ascii="Calibri" w:hAnsi="Calibri"/>
                <w:sz w:val="19"/>
              </w:rPr>
              <w:t>349</w:t>
            </w:r>
          </w:p>
        </w:tc>
      </w:tr>
      <w:tr>
        <w:tc>
          <w:tcPr>
            <w:tcW w:type="dxa" w:w="510"/>
            <w:tcBorders>
              <w:top w:val="single" w:sz="4" w:color="BFBFBF"/>
              <w:left w:val="nil"/>
              <w:bottom w:val="single" w:sz="4" w:color="BFBFBF"/>
              <w:right w:val="nil"/>
            </w:tcBorders>
            <w:shd w:val="clear" w:color="auto" w:fill="F2F5FA"/>
          </w:tcPr>
          <w:p>
            <w:pPr>
              <w:spacing w:after="0" w:before="0"/>
            </w:pPr>
            <w:r/>
            <w:r>
              <w:rPr>
                <w:rFonts w:ascii="Calibri" w:hAnsi="Calibri"/>
                <w:sz w:val="19"/>
              </w:rPr>
              <w:t>12</w:t>
            </w:r>
          </w:p>
        </w:tc>
        <w:tc>
          <w:tcPr>
            <w:tcW w:type="dxa" w:w="3685"/>
            <w:tcBorders>
              <w:top w:val="single" w:sz="4" w:color="BFBFBF"/>
              <w:left w:val="nil"/>
              <w:bottom w:val="single" w:sz="4" w:color="BFBFBF"/>
              <w:right w:val="nil"/>
            </w:tcBorders>
            <w:shd w:val="clear" w:color="auto" w:fill="F2F5FA"/>
          </w:tcPr>
          <w:p>
            <w:pPr>
              <w:spacing w:after="0" w:before="0"/>
            </w:pPr>
            <w:r/>
            <w:r>
              <w:rPr>
                <w:rFonts w:ascii="Calibri" w:hAnsi="Calibri"/>
                <w:sz w:val="19"/>
              </w:rPr>
              <w:t>Signature de la Charte Gen Z</w:t>
            </w:r>
          </w:p>
        </w:tc>
        <w:tc>
          <w:tcPr>
            <w:tcW w:type="dxa" w:w="1134"/>
            <w:tcBorders>
              <w:top w:val="single" w:sz="4" w:color="BFBFBF"/>
              <w:left w:val="nil"/>
              <w:bottom w:val="single" w:sz="4" w:color="BFBFBF"/>
              <w:right w:val="nil"/>
            </w:tcBorders>
            <w:shd w:val="clear" w:color="auto" w:fill="F2F5FA"/>
          </w:tcPr>
          <w:p>
            <w:pPr>
              <w:spacing w:after="0" w:before="0"/>
            </w:pPr>
            <w:r/>
            <w:r>
              <w:rPr>
                <w:rFonts w:ascii="Calibri" w:hAnsi="Calibri"/>
                <w:sz w:val="19"/>
              </w:rPr>
              <w:t>Reel</w:t>
            </w:r>
          </w:p>
        </w:tc>
        <w:tc>
          <w:tcPr>
            <w:tcW w:type="dxa" w:w="1304"/>
            <w:tcBorders>
              <w:top w:val="single" w:sz="4" w:color="BFBFBF"/>
              <w:left w:val="nil"/>
              <w:bottom w:val="single" w:sz="4" w:color="BFBFBF"/>
              <w:right w:val="nil"/>
            </w:tcBorders>
            <w:shd w:val="clear" w:color="auto" w:fill="F2F5FA"/>
          </w:tcPr>
          <w:p>
            <w:pPr>
              <w:spacing w:after="0" w:before="0"/>
            </w:pPr>
            <w:r/>
            <w:r>
              <w:rPr>
                <w:rFonts w:ascii="Calibri" w:hAnsi="Calibri"/>
                <w:sz w:val="19"/>
              </w:rPr>
              <w:t>nov. 2025</w:t>
            </w:r>
          </w:p>
        </w:tc>
        <w:tc>
          <w:tcPr>
            <w:tcW w:type="dxa" w:w="90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11 637</w:t>
            </w:r>
          </w:p>
        </w:tc>
        <w:tc>
          <w:tcPr>
            <w:tcW w:type="dxa" w:w="1077"/>
            <w:tcBorders>
              <w:top w:val="single" w:sz="4" w:color="BFBFBF"/>
              <w:left w:val="nil"/>
              <w:bottom w:val="single" w:sz="4" w:color="BFBFBF"/>
              <w:right w:val="nil"/>
            </w:tcBorders>
            <w:shd w:val="clear" w:color="auto" w:fill="F2F5FA"/>
          </w:tcPr>
          <w:p>
            <w:pPr>
              <w:spacing w:after="0" w:before="0"/>
              <w:jc w:val="right"/>
            </w:pPr>
            <w:r/>
            <w:r>
              <w:rPr>
                <w:rFonts w:ascii="Calibri" w:hAnsi="Calibri"/>
                <w:sz w:val="19"/>
              </w:rPr>
              <w:t>398</w:t>
            </w:r>
          </w:p>
        </w:tc>
      </w:tr>
    </w:tbl>
    <w:p>
      <w:pPr>
        <w:spacing w:after="240"/>
      </w:pPr>
      <w:r>
        <w:rPr>
          <w:i/>
          <w:color w:val="595959"/>
          <w:sz w:val="18"/>
        </w:rPr>
        <w:t>Depuis janvier 2025. Source : Meta Business Suite.</w:t>
      </w:r>
    </w:p>
    <w:p>
      <w:pPr>
        <w:pStyle w:val="Titre1"/>
        <w:spacing w:after="160"/>
      </w:pPr>
      <w:r>
        <w:t>4. Présence dans les médias</w:t>
      </w:r>
    </w:p>
    <w:tbl>
      <w:tblPr>
        <w:jc w:val="center"/>
        <w:tblLook w:firstColumn="1" w:firstRow="1" w:lastColumn="0" w:lastRow="0" w:noHBand="0" w:noVBand="1" w:val="04A0"/>
        <w:tblW w:w="8616" w:type="dxa"/>
        <w:tblLayout w:type="fixed"/>
      </w:tblPr>
      <w:tblGrid>
        <w:gridCol w:w="1360"/>
        <w:gridCol w:w="5896"/>
        <w:gridCol w:w="1360"/>
      </w:tblGrid>
      <w:tr>
        <w:trPr>
          <w:tblHeader w:val="true"/>
        </w:trPr>
        <w:tc>
          <w:tcPr>
            <w:tcW w:type="dxa" w:w="1361"/>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Média</w:t>
            </w:r>
          </w:p>
        </w:tc>
        <w:tc>
          <w:tcPr>
            <w:tcW w:type="dxa" w:w="5896"/>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Sujet</w:t>
            </w:r>
          </w:p>
        </w:tc>
        <w:tc>
          <w:tcPr>
            <w:tcW w:type="dxa" w:w="1361"/>
            <w:shd w:val="clear" w:color="auto" w:fill="2F5496"/>
            <w:tcBorders>
              <w:top w:val="single" w:sz="4" w:color="2F5496"/>
              <w:left w:val="nil"/>
              <w:bottom w:val="single" w:sz="4" w:color="2F5496"/>
              <w:right w:val="nil"/>
            </w:tcBorders>
          </w:tcPr>
          <w:p>
            <w:pPr>
              <w:spacing w:after="0" w:before="0"/>
            </w:pPr>
            <w:r/>
            <w:r>
              <w:rPr>
                <w:rFonts w:ascii="Calibri" w:hAnsi="Calibri"/>
                <w:b/>
                <w:color w:val="FFFFFF"/>
                <w:sz w:val="19"/>
              </w:rPr>
              <w:t>Date</w:t>
            </w:r>
          </w:p>
        </w:tc>
      </w:tr>
      <w:tr>
        <w:tc>
          <w:tcPr>
            <w:tcW w:type="dxa" w:w="1361"/>
            <w:tcBorders>
              <w:top w:val="single" w:sz="4" w:color="BFBFBF"/>
              <w:left w:val="nil"/>
              <w:bottom w:val="single" w:sz="4" w:color="BFBFBF"/>
              <w:right w:val="nil"/>
            </w:tcBorders>
          </w:tcPr>
          <w:p>
            <w:pPr>
              <w:spacing w:after="0" w:before="0"/>
            </w:pPr>
            <w:r/>
            <w:r>
              <w:rPr>
                <w:rFonts w:ascii="Calibri" w:hAnsi="Calibri"/>
                <w:sz w:val="19"/>
              </w:rPr>
              <w:t>France 24</w:t>
            </w:r>
          </w:p>
        </w:tc>
        <w:tc>
          <w:tcPr>
            <w:tcW w:type="dxa" w:w="5896"/>
            <w:tcBorders>
              <w:top w:val="single" w:sz="4" w:color="BFBFBF"/>
              <w:left w:val="nil"/>
              <w:bottom w:val="single" w:sz="4" w:color="BFBFBF"/>
              <w:right w:val="nil"/>
            </w:tcBorders>
          </w:tcPr>
          <w:p>
            <w:pPr>
              <w:spacing w:after="0" w:before="0"/>
            </w:pPr>
            <w:r/>
            <w:r>
              <w:rPr>
                <w:rFonts w:ascii="Calibri" w:hAnsi="Calibri"/>
                <w:sz w:val="19"/>
              </w:rPr>
              <w:t>JT Afrique – décryptage de la crise malgache</w:t>
            </w:r>
          </w:p>
        </w:tc>
        <w:tc>
          <w:tcPr>
            <w:tcW w:type="dxa" w:w="1361"/>
            <w:tcBorders>
              <w:top w:val="single" w:sz="4" w:color="BFBFBF"/>
              <w:left w:val="nil"/>
              <w:bottom w:val="single" w:sz="4" w:color="BFBFBF"/>
              <w:right w:val="nil"/>
            </w:tcBorders>
          </w:tcPr>
          <w:p>
            <w:pPr>
              <w:spacing w:after="0" w:before="0"/>
            </w:pPr>
            <w:r/>
            <w:r>
              <w:rPr>
                <w:rFonts w:ascii="Calibri" w:hAnsi="Calibri"/>
                <w:sz w:val="19"/>
              </w:rPr>
              <w:t>12 oct. 2025</w:t>
            </w:r>
          </w:p>
        </w:tc>
      </w:tr>
      <w:tr>
        <w:tc>
          <w:tcPr>
            <w:tcW w:type="dxa" w:w="1361"/>
            <w:tcBorders>
              <w:top w:val="single" w:sz="4" w:color="BFBFBF"/>
              <w:left w:val="nil"/>
              <w:bottom w:val="single" w:sz="4" w:color="BFBFBF"/>
              <w:right w:val="nil"/>
            </w:tcBorders>
            <w:shd w:val="clear" w:color="auto" w:fill="F2F5FA"/>
          </w:tcPr>
          <w:p>
            <w:pPr>
              <w:spacing w:after="0" w:before="0"/>
            </w:pPr>
            <w:r/>
            <w:r>
              <w:rPr>
                <w:rFonts w:ascii="Calibri" w:hAnsi="Calibri"/>
                <w:sz w:val="19"/>
              </w:rPr>
              <w:t>TV5Monde</w:t>
            </w:r>
          </w:p>
        </w:tc>
        <w:tc>
          <w:tcPr>
            <w:tcW w:type="dxa" w:w="5896"/>
            <w:tcBorders>
              <w:top w:val="single" w:sz="4" w:color="BFBFBF"/>
              <w:left w:val="nil"/>
              <w:bottom w:val="single" w:sz="4" w:color="BFBFBF"/>
              <w:right w:val="nil"/>
            </w:tcBorders>
            <w:shd w:val="clear" w:color="auto" w:fill="F2F5FA"/>
          </w:tcPr>
          <w:p>
            <w:pPr>
              <w:spacing w:after="0" w:before="0"/>
            </w:pPr>
            <w:r/>
            <w:r>
              <w:rPr>
                <w:rFonts w:ascii="Calibri" w:hAnsi="Calibri"/>
                <w:sz w:val="19"/>
              </w:rPr>
              <w:t>Madagascar : quelles sont les raisons de la colère</w:t>
            </w:r>
          </w:p>
        </w:tc>
        <w:tc>
          <w:tcPr>
            <w:tcW w:type="dxa" w:w="1361"/>
            <w:tcBorders>
              <w:top w:val="single" w:sz="4" w:color="BFBFBF"/>
              <w:left w:val="nil"/>
              <w:bottom w:val="single" w:sz="4" w:color="BFBFBF"/>
              <w:right w:val="nil"/>
            </w:tcBorders>
            <w:shd w:val="clear" w:color="auto" w:fill="F2F5FA"/>
          </w:tcPr>
          <w:p>
            <w:pPr>
              <w:spacing w:after="0" w:before="0"/>
            </w:pPr>
            <w:r/>
            <w:r>
              <w:rPr>
                <w:rFonts w:ascii="Calibri" w:hAnsi="Calibri"/>
                <w:sz w:val="19"/>
              </w:rPr>
              <w:t>12 oct. 2025</w:t>
            </w:r>
          </w:p>
        </w:tc>
      </w:tr>
      <w:tr>
        <w:tc>
          <w:tcPr>
            <w:tcW w:type="dxa" w:w="1361"/>
            <w:tcBorders>
              <w:top w:val="single" w:sz="4" w:color="BFBFBF"/>
              <w:left w:val="nil"/>
              <w:bottom w:val="single" w:sz="4" w:color="BFBFBF"/>
              <w:right w:val="nil"/>
            </w:tcBorders>
          </w:tcPr>
          <w:p>
            <w:pPr>
              <w:spacing w:after="0" w:before="0"/>
            </w:pPr>
            <w:r/>
            <w:r>
              <w:rPr>
                <w:rFonts w:ascii="Calibri" w:hAnsi="Calibri"/>
                <w:sz w:val="19"/>
              </w:rPr>
              <w:t>France 24</w:t>
            </w:r>
          </w:p>
        </w:tc>
        <w:tc>
          <w:tcPr>
            <w:tcW w:type="dxa" w:w="5896"/>
            <w:tcBorders>
              <w:top w:val="single" w:sz="4" w:color="BFBFBF"/>
              <w:left w:val="nil"/>
              <w:bottom w:val="single" w:sz="4" w:color="BFBFBF"/>
              <w:right w:val="nil"/>
            </w:tcBorders>
          </w:tcPr>
          <w:p>
            <w:pPr>
              <w:spacing w:after="0" w:before="0"/>
            </w:pPr>
            <w:r/>
            <w:r>
              <w:rPr>
                <w:rFonts w:ascii="Calibri" w:hAnsi="Calibri"/>
                <w:sz w:val="19"/>
              </w:rPr>
              <w:t>Le Débat – La Gen Z, un nouveau souffle politique ?</w:t>
            </w:r>
          </w:p>
        </w:tc>
        <w:tc>
          <w:tcPr>
            <w:tcW w:type="dxa" w:w="1361"/>
            <w:tcBorders>
              <w:top w:val="single" w:sz="4" w:color="BFBFBF"/>
              <w:left w:val="nil"/>
              <w:bottom w:val="single" w:sz="4" w:color="BFBFBF"/>
              <w:right w:val="nil"/>
            </w:tcBorders>
          </w:tcPr>
          <w:p>
            <w:pPr>
              <w:spacing w:after="0" w:before="0"/>
            </w:pPr>
            <w:r/>
            <w:r>
              <w:rPr>
                <w:rFonts w:ascii="Calibri" w:hAnsi="Calibri"/>
                <w:sz w:val="19"/>
              </w:rPr>
              <w:t>15 oct. 2025</w:t>
            </w:r>
          </w:p>
        </w:tc>
      </w:tr>
      <w:tr>
        <w:tc>
          <w:tcPr>
            <w:tcW w:type="dxa" w:w="1361"/>
            <w:tcBorders>
              <w:top w:val="single" w:sz="4" w:color="BFBFBF"/>
              <w:left w:val="nil"/>
              <w:bottom w:val="single" w:sz="4" w:color="BFBFBF"/>
              <w:right w:val="nil"/>
            </w:tcBorders>
            <w:shd w:val="clear" w:color="auto" w:fill="F2F5FA"/>
          </w:tcPr>
          <w:p>
            <w:pPr>
              <w:spacing w:after="0" w:before="0"/>
            </w:pPr>
            <w:r/>
            <w:r>
              <w:rPr>
                <w:rFonts w:ascii="Calibri" w:hAnsi="Calibri"/>
                <w:sz w:val="19"/>
              </w:rPr>
              <w:t>WATHI</w:t>
            </w:r>
          </w:p>
        </w:tc>
        <w:tc>
          <w:tcPr>
            <w:tcW w:type="dxa" w:w="5896"/>
            <w:tcBorders>
              <w:top w:val="single" w:sz="4" w:color="BFBFBF"/>
              <w:left w:val="nil"/>
              <w:bottom w:val="single" w:sz="4" w:color="BFBFBF"/>
              <w:right w:val="nil"/>
            </w:tcBorders>
            <w:shd w:val="clear" w:color="auto" w:fill="F2F5FA"/>
          </w:tcPr>
          <w:p>
            <w:pPr>
              <w:spacing w:after="0" w:before="0"/>
            </w:pPr>
            <w:r/>
            <w:r>
              <w:rPr>
                <w:rFonts w:ascii="Calibri" w:hAnsi="Calibri"/>
                <w:sz w:val="19"/>
              </w:rPr>
              <w:t>« Transformer la colère de la Gen Z en projet politique »</w:t>
            </w:r>
          </w:p>
        </w:tc>
        <w:tc>
          <w:tcPr>
            <w:tcW w:type="dxa" w:w="1361"/>
            <w:tcBorders>
              <w:top w:val="single" w:sz="4" w:color="BFBFBF"/>
              <w:left w:val="nil"/>
              <w:bottom w:val="single" w:sz="4" w:color="BFBFBF"/>
              <w:right w:val="nil"/>
            </w:tcBorders>
            <w:shd w:val="clear" w:color="auto" w:fill="F2F5FA"/>
          </w:tcPr>
          <w:p>
            <w:pPr>
              <w:spacing w:after="0" w:before="0"/>
            </w:pPr>
            <w:r/>
            <w:r>
              <w:rPr>
                <w:rFonts w:ascii="Calibri" w:hAnsi="Calibri"/>
                <w:sz w:val="19"/>
              </w:rPr>
              <w:t>19 oct. 2025</w:t>
            </w:r>
          </w:p>
        </w:tc>
      </w:tr>
      <w:tr>
        <w:tc>
          <w:tcPr>
            <w:tcW w:type="dxa" w:w="1361"/>
            <w:tcBorders>
              <w:top w:val="single" w:sz="4" w:color="BFBFBF"/>
              <w:left w:val="nil"/>
              <w:bottom w:val="single" w:sz="4" w:color="BFBFBF"/>
              <w:right w:val="nil"/>
            </w:tcBorders>
          </w:tcPr>
          <w:p>
            <w:pPr>
              <w:spacing w:after="0" w:before="0"/>
            </w:pPr>
            <w:r/>
            <w:r>
              <w:rPr>
                <w:rFonts w:ascii="Calibri" w:hAnsi="Calibri"/>
                <w:sz w:val="19"/>
              </w:rPr>
              <w:t>Multipolaire</w:t>
            </w:r>
          </w:p>
        </w:tc>
        <w:tc>
          <w:tcPr>
            <w:tcW w:type="dxa" w:w="5896"/>
            <w:tcBorders>
              <w:top w:val="single" w:sz="4" w:color="BFBFBF"/>
              <w:left w:val="nil"/>
              <w:bottom w:val="single" w:sz="4" w:color="BFBFBF"/>
              <w:right w:val="nil"/>
            </w:tcBorders>
          </w:tcPr>
          <w:p>
            <w:pPr>
              <w:spacing w:after="0" w:before="0"/>
            </w:pPr>
            <w:r/>
            <w:r>
              <w:rPr>
                <w:rFonts w:ascii="Calibri" w:hAnsi="Calibri"/>
                <w:sz w:val="19"/>
              </w:rPr>
              <w:t>Crise à Madagascar et canal du Mozambique</w:t>
            </w:r>
          </w:p>
        </w:tc>
        <w:tc>
          <w:tcPr>
            <w:tcW w:type="dxa" w:w="1361"/>
            <w:tcBorders>
              <w:top w:val="single" w:sz="4" w:color="BFBFBF"/>
              <w:left w:val="nil"/>
              <w:bottom w:val="single" w:sz="4" w:color="BFBFBF"/>
              <w:right w:val="nil"/>
            </w:tcBorders>
          </w:tcPr>
          <w:p>
            <w:pPr>
              <w:spacing w:after="0" w:before="0"/>
            </w:pPr>
            <w:r/>
            <w:r>
              <w:rPr>
                <w:rFonts w:ascii="Calibri" w:hAnsi="Calibri"/>
                <w:sz w:val="19"/>
              </w:rPr>
              <w:t>6 nov. 2025</w:t>
            </w:r>
          </w:p>
        </w:tc>
      </w:tr>
      <w:tr>
        <w:tc>
          <w:tcPr>
            <w:tcW w:type="dxa" w:w="1361"/>
            <w:tcBorders>
              <w:top w:val="single" w:sz="4" w:color="BFBFBF"/>
              <w:left w:val="nil"/>
              <w:bottom w:val="single" w:sz="4" w:color="BFBFBF"/>
              <w:right w:val="nil"/>
            </w:tcBorders>
            <w:shd w:val="clear" w:color="auto" w:fill="F2F5FA"/>
          </w:tcPr>
          <w:p>
            <w:pPr>
              <w:spacing w:after="0" w:before="0"/>
            </w:pPr>
            <w:r/>
            <w:r>
              <w:rPr>
                <w:rFonts w:ascii="Calibri" w:hAnsi="Calibri"/>
                <w:sz w:val="19"/>
              </w:rPr>
              <w:t>DW</w:t>
            </w:r>
          </w:p>
        </w:tc>
        <w:tc>
          <w:tcPr>
            <w:tcW w:type="dxa" w:w="5896"/>
            <w:tcBorders>
              <w:top w:val="single" w:sz="4" w:color="BFBFBF"/>
              <w:left w:val="nil"/>
              <w:bottom w:val="single" w:sz="4" w:color="BFBFBF"/>
              <w:right w:val="nil"/>
            </w:tcBorders>
            <w:shd w:val="clear" w:color="auto" w:fill="F2F5FA"/>
          </w:tcPr>
          <w:p>
            <w:pPr>
              <w:spacing w:after="0" w:before="0"/>
            </w:pPr>
            <w:r/>
            <w:r>
              <w:rPr>
                <w:rFonts w:ascii="Calibri" w:hAnsi="Calibri"/>
                <w:sz w:val="19"/>
              </w:rPr>
              <w:t>Arbre à palabres – L'avenir de la Gen Z à Madagascar</w:t>
            </w:r>
          </w:p>
        </w:tc>
        <w:tc>
          <w:tcPr>
            <w:tcW w:type="dxa" w:w="1361"/>
            <w:tcBorders>
              <w:top w:val="single" w:sz="4" w:color="BFBFBF"/>
              <w:left w:val="nil"/>
              <w:bottom w:val="single" w:sz="4" w:color="BFBFBF"/>
              <w:right w:val="nil"/>
            </w:tcBorders>
            <w:shd w:val="clear" w:color="auto" w:fill="F2F5FA"/>
          </w:tcPr>
          <w:p>
            <w:pPr>
              <w:spacing w:after="0" w:before="0"/>
            </w:pPr>
            <w:r/>
            <w:r>
              <w:rPr>
                <w:rFonts w:ascii="Calibri" w:hAnsi="Calibri"/>
                <w:sz w:val="19"/>
              </w:rPr>
              <w:t>sept. 2026</w:t>
            </w:r>
          </w:p>
        </w:tc>
      </w:tr>
      <w:tr>
        <w:tc>
          <w:tcPr>
            <w:tcW w:type="dxa" w:w="1361"/>
            <w:tcBorders>
              <w:top w:val="single" w:sz="4" w:color="BFBFBF"/>
              <w:left w:val="nil"/>
              <w:bottom w:val="single" w:sz="4" w:color="BFBFBF"/>
              <w:right w:val="nil"/>
            </w:tcBorders>
          </w:tcPr>
          <w:p>
            <w:pPr>
              <w:spacing w:after="0" w:before="0"/>
            </w:pPr>
            <w:r/>
            <w:r>
              <w:rPr>
                <w:rFonts w:ascii="Calibri" w:hAnsi="Calibri"/>
                <w:sz w:val="19"/>
              </w:rPr>
              <w:t>France 24</w:t>
            </w:r>
          </w:p>
        </w:tc>
        <w:tc>
          <w:tcPr>
            <w:tcW w:type="dxa" w:w="5896"/>
            <w:tcBorders>
              <w:top w:val="single" w:sz="4" w:color="BFBFBF"/>
              <w:left w:val="nil"/>
              <w:bottom w:val="single" w:sz="4" w:color="BFBFBF"/>
              <w:right w:val="nil"/>
            </w:tcBorders>
          </w:tcPr>
          <w:p>
            <w:pPr>
              <w:spacing w:after="0" w:before="0"/>
            </w:pPr>
            <w:r/>
            <w:r>
              <w:rPr>
                <w:rFonts w:ascii="Calibri" w:hAnsi="Calibri"/>
                <w:sz w:val="19"/>
              </w:rPr>
              <w:t>Madagascar, 1 an après la révolte de la Gen Z</w:t>
            </w:r>
          </w:p>
        </w:tc>
        <w:tc>
          <w:tcPr>
            <w:tcW w:type="dxa" w:w="1361"/>
            <w:tcBorders>
              <w:top w:val="single" w:sz="4" w:color="BFBFBF"/>
              <w:left w:val="nil"/>
              <w:bottom w:val="single" w:sz="4" w:color="BFBFBF"/>
              <w:right w:val="nil"/>
            </w:tcBorders>
          </w:tcPr>
          <w:p>
            <w:pPr>
              <w:spacing w:after="0" w:before="0"/>
            </w:pPr>
            <w:r/>
            <w:r>
              <w:rPr>
                <w:rFonts w:ascii="Calibri" w:hAnsi="Calibri"/>
                <w:sz w:val="19"/>
              </w:rPr>
              <w:t>sept. 2026</w:t>
            </w:r>
          </w:p>
        </w:tc>
      </w:tr>
      <w:tr>
        <w:tc>
          <w:tcPr>
            <w:tcW w:type="dxa" w:w="1361"/>
            <w:tcBorders>
              <w:top w:val="single" w:sz="4" w:color="BFBFBF"/>
              <w:left w:val="nil"/>
              <w:bottom w:val="single" w:sz="4" w:color="BFBFBF"/>
              <w:right w:val="nil"/>
            </w:tcBorders>
            <w:shd w:val="clear" w:color="auto" w:fill="F2F5FA"/>
          </w:tcPr>
          <w:p>
            <w:pPr>
              <w:spacing w:after="0" w:before="0"/>
            </w:pPr>
            <w:r/>
            <w:r>
              <w:rPr>
                <w:rFonts w:ascii="Calibri" w:hAnsi="Calibri"/>
                <w:sz w:val="19"/>
              </w:rPr>
              <w:t>Telesud</w:t>
            </w:r>
          </w:p>
        </w:tc>
        <w:tc>
          <w:tcPr>
            <w:tcW w:type="dxa" w:w="5896"/>
            <w:tcBorders>
              <w:top w:val="single" w:sz="4" w:color="BFBFBF"/>
              <w:left w:val="nil"/>
              <w:bottom w:val="single" w:sz="4" w:color="BFBFBF"/>
              <w:right w:val="nil"/>
            </w:tcBorders>
            <w:shd w:val="clear" w:color="auto" w:fill="F2F5FA"/>
          </w:tcPr>
          <w:p>
            <w:pPr>
              <w:spacing w:after="0" w:before="0"/>
            </w:pPr>
            <w:r/>
            <w:r>
              <w:rPr>
                <w:rFonts w:ascii="Calibri" w:hAnsi="Calibri"/>
                <w:sz w:val="19"/>
              </w:rPr>
              <w:t>Global Africa – Guinée, la Russie à Simandou</w:t>
            </w:r>
          </w:p>
        </w:tc>
        <w:tc>
          <w:tcPr>
            <w:tcW w:type="dxa" w:w="1361"/>
            <w:tcBorders>
              <w:top w:val="single" w:sz="4" w:color="BFBFBF"/>
              <w:left w:val="nil"/>
              <w:bottom w:val="single" w:sz="4" w:color="BFBFBF"/>
              <w:right w:val="nil"/>
            </w:tcBorders>
            <w:shd w:val="clear" w:color="auto" w:fill="F2F5FA"/>
          </w:tcPr>
          <w:p>
            <w:pPr>
              <w:spacing w:after="0" w:before="0"/>
            </w:pPr>
            <w:r/>
            <w:r>
              <w:rPr>
                <w:rFonts w:ascii="Calibri" w:hAnsi="Calibri"/>
                <w:sz w:val="19"/>
              </w:rPr>
              <w:t>oct. 2026</w:t>
            </w:r>
          </w:p>
        </w:tc>
      </w:tr>
      <w:tr>
        <w:tc>
          <w:tcPr>
            <w:tcW w:type="dxa" w:w="1361"/>
            <w:tcBorders>
              <w:top w:val="single" w:sz="4" w:color="BFBFBF"/>
              <w:left w:val="nil"/>
              <w:bottom w:val="single" w:sz="4" w:color="BFBFBF"/>
              <w:right w:val="nil"/>
            </w:tcBorders>
          </w:tcPr>
          <w:p>
            <w:pPr>
              <w:spacing w:after="0" w:before="0"/>
            </w:pPr>
            <w:r/>
            <w:r>
              <w:rPr>
                <w:rFonts w:ascii="Calibri" w:hAnsi="Calibri"/>
                <w:sz w:val="19"/>
              </w:rPr>
              <w:t>pS-Eau</w:t>
            </w:r>
          </w:p>
        </w:tc>
        <w:tc>
          <w:tcPr>
            <w:tcW w:type="dxa" w:w="5896"/>
            <w:tcBorders>
              <w:top w:val="single" w:sz="4" w:color="BFBFBF"/>
              <w:left w:val="nil"/>
              <w:bottom w:val="single" w:sz="4" w:color="BFBFBF"/>
              <w:right w:val="nil"/>
            </w:tcBorders>
          </w:tcPr>
          <w:p>
            <w:pPr>
              <w:spacing w:after="0" w:before="0"/>
            </w:pPr>
            <w:r/>
            <w:r>
              <w:rPr>
                <w:rFonts w:ascii="Calibri" w:hAnsi="Calibri"/>
                <w:sz w:val="19"/>
              </w:rPr>
              <w:t>Reprise : Comprendre la situation énergétique de Madagascar</w:t>
            </w:r>
          </w:p>
        </w:tc>
        <w:tc>
          <w:tcPr>
            <w:tcW w:type="dxa" w:w="1361"/>
            <w:tcBorders>
              <w:top w:val="single" w:sz="4" w:color="BFBFBF"/>
              <w:left w:val="nil"/>
              <w:bottom w:val="single" w:sz="4" w:color="BFBFBF"/>
              <w:right w:val="nil"/>
            </w:tcBorders>
          </w:tcPr>
          <w:p>
            <w:pPr>
              <w:spacing w:after="0" w:before="0"/>
            </w:pPr>
            <w:r/>
            <w:r>
              <w:rPr>
                <w:rFonts w:ascii="Calibri" w:hAnsi="Calibri"/>
                <w:sz w:val="19"/>
              </w:rPr>
              <w:t>17 févr. 2025</w:t>
            </w:r>
          </w:p>
        </w:tc>
      </w:tr>
      <w:tr>
        <w:tc>
          <w:tcPr>
            <w:tcW w:type="dxa" w:w="1361"/>
            <w:tcBorders>
              <w:top w:val="single" w:sz="4" w:color="BFBFBF"/>
              <w:left w:val="nil"/>
              <w:bottom w:val="single" w:sz="4" w:color="BFBFBF"/>
              <w:right w:val="nil"/>
            </w:tcBorders>
            <w:shd w:val="clear" w:color="auto" w:fill="F2F5FA"/>
          </w:tcPr>
          <w:p>
            <w:pPr>
              <w:spacing w:after="0" w:before="0"/>
            </w:pPr>
            <w:r/>
            <w:r>
              <w:rPr>
                <w:rFonts w:ascii="Calibri" w:hAnsi="Calibri"/>
                <w:sz w:val="19"/>
              </w:rPr>
              <w:t>2424.mg</w:t>
            </w:r>
          </w:p>
        </w:tc>
        <w:tc>
          <w:tcPr>
            <w:tcW w:type="dxa" w:w="5896"/>
            <w:tcBorders>
              <w:top w:val="single" w:sz="4" w:color="BFBFBF"/>
              <w:left w:val="nil"/>
              <w:bottom w:val="single" w:sz="4" w:color="BFBFBF"/>
              <w:right w:val="nil"/>
            </w:tcBorders>
            <w:shd w:val="clear" w:color="auto" w:fill="F2F5FA"/>
          </w:tcPr>
          <w:p>
            <w:pPr>
              <w:spacing w:after="0" w:before="0"/>
            </w:pPr>
            <w:r/>
            <w:r>
              <w:rPr>
                <w:rFonts w:ascii="Calibri" w:hAnsi="Calibri"/>
                <w:sz w:val="19"/>
              </w:rPr>
              <w:t>Lancement : un think tank pour le développement de Madagascar</w:t>
            </w:r>
          </w:p>
        </w:tc>
        <w:tc>
          <w:tcPr>
            <w:tcW w:type="dxa" w:w="1361"/>
            <w:tcBorders>
              <w:top w:val="single" w:sz="4" w:color="BFBFBF"/>
              <w:left w:val="nil"/>
              <w:bottom w:val="single" w:sz="4" w:color="BFBFBF"/>
              <w:right w:val="nil"/>
            </w:tcBorders>
            <w:shd w:val="clear" w:color="auto" w:fill="F2F5FA"/>
          </w:tcPr>
          <w:p>
            <w:pPr>
              <w:spacing w:after="0" w:before="0"/>
            </w:pPr>
            <w:r/>
            <w:r>
              <w:rPr>
                <w:rFonts w:ascii="Calibri" w:hAnsi="Calibri"/>
                <w:sz w:val="19"/>
              </w:rPr>
              <w:t>24 avr. 2023</w:t>
            </w:r>
          </w:p>
        </w:tc>
      </w:tr>
    </w:tbl>
    <w:p>
      <w:pPr>
        <w:spacing w:after="240"/>
      </w:pPr>
      <w:r>
        <w:rPr>
          <w:i/>
          <w:color w:val="595959"/>
          <w:sz w:val="18"/>
        </w:rPr>
        <w:t>Recherche Google du 21 octobre 2026. Liste non exhaustive.</w:t>
      </w:r>
    </w:p>
    <w:p>
      <w:pPr>
        <w:pStyle w:val="Titre1"/>
        <w:spacing w:after="160"/>
      </w:pPr>
      <w:r>
        <w:t>5. Pistes</w:t>
      </w:r>
    </w:p>
    <w:p>
      <w:pPr>
        <w:pStyle w:val="Paragraphedeliste"/>
        <w:numPr>
          <w:ilvl w:val="0"/>
          <w:numId w:val="1"/>
        </w:numPr>
        <w:spacing w:after="120" w:line="276" w:lineRule="auto"/>
        <w:jc w:val="both"/>
      </w:pPr>
      <w:r>
        <w:rPr>
          <w:b/>
        </w:rPr>
        <w:t xml:space="preserve">Convertir les vues vidéo en lecteurs. </w:t>
      </w:r>
      <w:r>
        <w:t>Les reels touchent des dizaines de milliers de personnes, mais seules 1 095 sessions du site viennent des réseaux sociaux en 12 mois. Un lien systématique vers l'analyse complète, en commentaire épinglé, peut aider.</w:t>
      </w:r>
    </w:p>
    <w:p>
      <w:pPr>
        <w:pStyle w:val="Paragraphedeliste"/>
        <w:numPr>
          <w:ilvl w:val="0"/>
          <w:numId w:val="1"/>
        </w:numPr>
        <w:spacing w:after="120" w:line="276" w:lineRule="auto"/>
        <w:jc w:val="both"/>
      </w:pPr>
      <w:r>
        <w:rPr>
          <w:b/>
        </w:rPr>
        <w:t xml:space="preserve">Lisser le calendrier. </w:t>
      </w:r>
      <w:r>
        <w:t>Les creux d'août 2025 et août 2026 se voient dans toutes les courbes. Quelques contenus programmés à l'avance suffiraient à garder le rythme.</w:t>
      </w:r>
    </w:p>
    <w:p>
      <w:pPr>
        <w:pStyle w:val="Paragraphedeliste"/>
        <w:numPr>
          <w:ilvl w:val="0"/>
          <w:numId w:val="1"/>
        </w:numPr>
        <w:spacing w:after="120" w:line="276" w:lineRule="auto"/>
        <w:jc w:val="both"/>
      </w:pPr>
      <w:r>
        <w:rPr>
          <w:b/>
        </w:rPr>
        <w:t xml:space="preserve">Faire grandir LinkedIn et la newsletter. </w:t>
      </w:r>
      <w:r>
        <w:t>Ce sont les canaux qui touchent le mieux les décideurs (Paris 25 % et Antananarivo 17 % des abonnés LinkedIn), et ils restent sous les 1 000 abonnés.</w:t>
      </w:r>
    </w:p>
    <w:p>
      <w:pPr>
        <w:pStyle w:val="Paragraphedeliste"/>
        <w:numPr>
          <w:ilvl w:val="0"/>
          <w:numId w:val="1"/>
        </w:numPr>
        <w:spacing w:after="120" w:line="276" w:lineRule="auto"/>
        <w:jc w:val="both"/>
      </w:pPr>
      <w:r>
        <w:rPr>
          <w:b/>
        </w:rPr>
        <w:t xml:space="preserve">Mieux attribuer les auteurs. </w:t>
      </w:r>
      <w:r>
        <w:t>Sur le site, presque tous les articles sont publiés sous le compte « Diapason ». Rattacher chaque article à sa bio auteur permettrait des statistiques par contributeur.</w:t>
      </w:r>
    </w:p>
    <w:p>
      <w:pPr>
        <w:pStyle w:val="Titre1"/>
        <w:spacing w:after="160"/>
      </w:pPr>
      <w:r>
        <w:t>Méthode et sources</w:t>
      </w:r>
    </w:p>
    <w:p>
      <w:pPr>
        <w:spacing w:after="160" w:line="276" w:lineRule="auto"/>
        <w:jc w:val="both"/>
      </w:pPr>
      <w:r>
        <w:rPr/>
        <w:t>Données relevées le 21 octobre 2026 dans : WordPress (API REST) et Jetpack Stats pour le site ; Google Analytics 4 ; Meta Business Suite pour Facebook ; profil Instagram ; LinkedIn Page Analytics ; profil X ; Ausha pour le podcast ; recherche Google pour les retombées médias.</w:t>
      </w:r>
    </w:p>
    <w:p>
      <w:pPr>
        <w:spacing w:after="160" w:line="276" w:lineRule="auto"/>
        <w:jc w:val="both"/>
      </w:pPr>
      <w:r>
        <w:rPr/>
        <w:t>Les périodes diffèrent selon les outils : Jetpack et Facebook depuis le 1er janvier 2025, GA4 et LinkedIn sur 12 mois glissants. Jetpack et GA4 ne mesurent pas exactement la même chose, d'où des totaux différents. Les vues YouTube et Substack n'ont pas été relevées.</w:t>
      </w:r>
    </w:p>
    <w:sectPr w:rsidR="00A05C6A" w:rsidRPr="00781F29">
      <w:headerReference w:type="even" r:id="rId8"/>
      <w:headerReference w:type="default" r:id="rId9"/>
      <w:foot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C5F29" w:rsidRDefault="00EC5F29" w:rsidP="00C12015">
      <w:r>
        <w:separator/>
      </w:r>
    </w:p>
  </w:endnote>
  <w:endnote w:type="continuationSeparator" w:id="0">
    <w:p w:rsidR="00EC5F29" w:rsidRDefault="00EC5F29" w:rsidP="00C12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ource Serif Pro">
    <w:panose1 w:val="02040603050405020204"/>
    <w:charset w:val="00"/>
    <w:family w:val="roman"/>
    <w:pitch w:val="variable"/>
    <w:sig w:usb0="20000287" w:usb1="02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0198A" w:rsidRPr="00350AE6" w:rsidRDefault="00E0198A" w:rsidP="00E0198A">
    <w:pPr>
      <w:pStyle w:val="Pieddepage"/>
      <w:rPr>
        <w:noProof/>
        <w:color w:val="BFBFBF" w:themeColor="background1" w:themeShade="BF"/>
        <w:sz w:val="20"/>
        <w:szCs w:val="18"/>
        <w:lang w:val="en-US"/>
      </w:rPr>
    </w:pPr>
    <w:r w:rsidRPr="00350AE6">
      <w:rPr>
        <w:sz w:val="18"/>
        <w:szCs w:val="18"/>
        <w:lang w:val="en-US"/>
      </w:rPr>
      <w:t>Diapason ©</w:t>
    </w:r>
    <w:r w:rsidR="00184F22" w:rsidRPr="00350AE6">
      <w:rPr>
        <w:sz w:val="18"/>
        <w:szCs w:val="18"/>
        <w:lang w:val="en-US"/>
      </w:rPr>
      <w:t xml:space="preserve"> </w:t>
    </w:r>
    <w:r w:rsidRPr="00350AE6">
      <w:rPr>
        <w:sz w:val="18"/>
        <w:szCs w:val="18"/>
        <w:lang w:val="en-US"/>
      </w:rPr>
      <w:t>202</w:t>
    </w:r>
    <w:r w:rsidR="008511F5">
      <w:rPr>
        <w:sz w:val="18"/>
        <w:szCs w:val="18"/>
        <w:lang w:val="en-US"/>
      </w:rPr>
      <w:t>6</w:t>
    </w:r>
    <w:r w:rsidRPr="00350AE6">
      <w:rPr>
        <w:noProof/>
        <w:color w:val="BFBFBF" w:themeColor="background1" w:themeShade="BF"/>
        <w:sz w:val="20"/>
        <w:szCs w:val="18"/>
        <w:lang w:val="en-US"/>
      </w:rPr>
      <w:t xml:space="preserve"> </w:t>
    </w:r>
  </w:p>
  <w:p w:rsidR="00E0198A" w:rsidRPr="008A26D4" w:rsidRDefault="00E0198A" w:rsidP="00E0198A">
    <w:pPr>
      <w:jc w:val="both"/>
      <w:rPr>
        <w:rFonts w:ascii="Source Serif Pro" w:hAnsi="Source Serif Pro"/>
        <w:color w:val="BFBFBF" w:themeColor="background1" w:themeShade="BF"/>
        <w:sz w:val="16"/>
        <w:szCs w:val="16"/>
        <w:lang w:val="en-US"/>
      </w:rPr>
    </w:pPr>
    <w:r w:rsidRPr="008A26D4">
      <w:rPr>
        <w:rFonts w:ascii="Source Serif Pro" w:hAnsi="Source Serif Pro"/>
        <w:color w:val="BFBFBF" w:themeColor="background1" w:themeShade="BF"/>
        <w:sz w:val="16"/>
        <w:szCs w:val="16"/>
        <w:lang w:val="en-US"/>
      </w:rPr>
      <w:t xml:space="preserve">Think </w:t>
    </w:r>
    <w:proofErr w:type="gramStart"/>
    <w:r w:rsidRPr="008A26D4">
      <w:rPr>
        <w:rFonts w:ascii="Source Serif Pro" w:hAnsi="Source Serif Pro"/>
        <w:color w:val="BFBFBF" w:themeColor="background1" w:themeShade="BF"/>
        <w:sz w:val="16"/>
        <w:szCs w:val="16"/>
        <w:lang w:val="en-US"/>
      </w:rPr>
      <w:t>Tank :</w:t>
    </w:r>
    <w:proofErr w:type="gramEnd"/>
    <w:r w:rsidRPr="008A26D4">
      <w:rPr>
        <w:rFonts w:ascii="Source Serif Pro" w:hAnsi="Source Serif Pro"/>
        <w:color w:val="BFBFBF" w:themeColor="background1" w:themeShade="BF"/>
        <w:sz w:val="16"/>
        <w:szCs w:val="16"/>
        <w:lang w:val="en-US"/>
      </w:rPr>
      <w:t xml:space="preserve"> W751268275 / SIRET : 923 013 718 000 13</w:t>
    </w:r>
  </w:p>
  <w:p w:rsidR="00E0198A" w:rsidRPr="002E567C" w:rsidRDefault="00E0198A" w:rsidP="00E0198A">
    <w:pPr>
      <w:pStyle w:val="Pieddepage"/>
      <w:rPr>
        <w:rFonts w:ascii="Source Serif Pro" w:hAnsi="Source Serif Pro"/>
        <w:i/>
        <w:iCs/>
        <w:color w:val="BFBFBF" w:themeColor="background1" w:themeShade="BF"/>
        <w:sz w:val="16"/>
        <w:szCs w:val="16"/>
      </w:rPr>
    </w:pPr>
    <w:r w:rsidRPr="00453F92">
      <w:rPr>
        <w:rFonts w:ascii="Source Serif Pro" w:hAnsi="Source Serif Pro"/>
        <w:i/>
        <w:iCs/>
        <w:color w:val="BFBFBF" w:themeColor="background1" w:themeShade="BF"/>
        <w:sz w:val="16"/>
        <w:szCs w:val="16"/>
      </w:rPr>
      <w:t xml:space="preserve">102 avenue des Champs </w:t>
    </w:r>
    <w:r w:rsidRPr="00395250">
      <w:rPr>
        <w:rFonts w:ascii="Source Serif Pro" w:hAnsi="Source Serif Pro"/>
        <w:i/>
        <w:iCs/>
        <w:color w:val="BFBFBF" w:themeColor="background1" w:themeShade="BF"/>
        <w:sz w:val="16"/>
        <w:szCs w:val="16"/>
      </w:rPr>
      <w:t xml:space="preserve">Élysées, </w:t>
    </w:r>
    <w:r w:rsidRPr="00453F92">
      <w:rPr>
        <w:rFonts w:ascii="Source Serif Pro" w:hAnsi="Source Serif Pro"/>
        <w:i/>
        <w:iCs/>
        <w:color w:val="BFBFBF" w:themeColor="background1" w:themeShade="BF"/>
        <w:sz w:val="16"/>
        <w:szCs w:val="16"/>
      </w:rPr>
      <w:t>75008 Paris</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C5F29" w:rsidRDefault="00EC5F29" w:rsidP="00C12015">
      <w:r>
        <w:separator/>
      </w:r>
    </w:p>
  </w:footnote>
  <w:footnote w:type="continuationSeparator" w:id="0">
    <w:p w:rsidR="00EC5F29" w:rsidRDefault="00EC5F29" w:rsidP="00C12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4471" w:rsidRDefault="00EC5F29">
    <w:pPr>
      <w:pStyle w:val="En-tte"/>
    </w:pPr>
    <w:r>
      <w:rPr>
        <w:noProof/>
      </w:rPr>
      <w:pict w14:anchorId="19232F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494574" o:spid="_x0000_s1027" type="#_x0000_t75" alt="" style="position:absolute;margin-left:0;margin-top:0;width:451.5pt;height:447.85pt;z-index:-251653120;mso-wrap-edited:f;mso-width-percent:0;mso-height-percent:0;mso-position-horizontal:center;mso-position-horizontal-relative:margin;mso-position-vertical:center;mso-position-vertical-relative:margin;mso-width-percent:0;mso-height-percent:0" o:allowincell="f">
          <v:imagedata r:id="rId1" o:title="Logo19@2x"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4471" w:rsidRDefault="00002B4A" w:rsidP="00002B4A">
    <w:pPr>
      <w:pStyle w:val="En-tte"/>
      <w:jc w:val="center"/>
    </w:pPr>
    <w:r>
      <w:rPr>
        <w:noProof/>
      </w:rPr>
      <w:drawing>
        <wp:inline distT="0" distB="0" distL="0" distR="0" wp14:anchorId="46B2907D" wp14:editId="6E3BD473">
          <wp:extent cx="444500" cy="440873"/>
          <wp:effectExtent l="0" t="0" r="190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
                    <a:extLst>
                      <a:ext uri="{28A0092B-C50C-407E-A947-70E740481C1C}">
                        <a14:useLocalDpi xmlns:a14="http://schemas.microsoft.com/office/drawing/2010/main" val="0"/>
                      </a:ext>
                    </a:extLst>
                  </a:blip>
                  <a:stretch>
                    <a:fillRect/>
                  </a:stretch>
                </pic:blipFill>
                <pic:spPr>
                  <a:xfrm>
                    <a:off x="0" y="0"/>
                    <a:ext cx="444500" cy="440873"/>
                  </a:xfrm>
                  <a:prstGeom prst="rect">
                    <a:avLst/>
                  </a:prstGeom>
                </pic:spPr>
              </pic:pic>
            </a:graphicData>
          </a:graphic>
        </wp:inline>
      </w:drawing>
    </w:r>
    <w:r w:rsidR="00EC5F29">
      <w:rPr>
        <w:noProof/>
      </w:rPr>
      <w:pict w14:anchorId="75C92B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494575" o:spid="_x0000_s1026" type="#_x0000_t75" alt="" style="position:absolute;left:0;text-align:left;margin-left:0;margin-top:0;width:451.5pt;height:447.85pt;z-index:-251650048;mso-wrap-edited:f;mso-width-percent:0;mso-height-percent:0;mso-position-horizontal:center;mso-position-horizontal-relative:margin;mso-position-vertical:center;mso-position-vertical-relative:margin;mso-width-percent:0;mso-height-percent:0" o:allowincell="f">
          <v:imagedata r:id="rId2" o:title="Logo19@2x"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4471" w:rsidRDefault="00EC5F29">
    <w:pPr>
      <w:pStyle w:val="En-tte"/>
    </w:pPr>
    <w:r>
      <w:rPr>
        <w:noProof/>
      </w:rPr>
      <w:pict w14:anchorId="0D424F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494573" o:spid="_x0000_s1025" type="#_x0000_t75" alt="" style="position:absolute;margin-left:0;margin-top:0;width:451.5pt;height:447.85pt;z-index:-251656192;mso-wrap-edited:f;mso-width-percent:0;mso-height-percent:0;mso-position-horizontal:center;mso-position-horizontal-relative:margin;mso-position-vertical:center;mso-position-vertical-relative:margin;mso-width-percent:0;mso-height-percent:0" o:allowincell="f">
          <v:imagedata r:id="rId1" o:title="Logo19@2x"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alt="SVG &gt; attorney lawyer rule regulation - Free SVG Image &amp; Icon. | SVG Silh" style="width:26.8pt;height:54.15pt;visibility:visible" o:bullet="t">
        <v:imagedata r:id="rId1" o:title=""/>
      </v:shape>
    </w:pict>
  </w:numPicBullet>
  <w:abstractNum w:abstractNumId="0" w15:restartNumberingAfterBreak="0">
    <w:nsid w:val="11A235BB"/>
    <w:multiLevelType w:val="multilevel"/>
    <w:tmpl w:val="FF18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5F12A0"/>
    <w:multiLevelType w:val="multilevel"/>
    <w:tmpl w:val="5ABC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402EC9"/>
    <w:multiLevelType w:val="multilevel"/>
    <w:tmpl w:val="2A58B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6975FC"/>
    <w:multiLevelType w:val="multilevel"/>
    <w:tmpl w:val="4ABA1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7574B4"/>
    <w:multiLevelType w:val="hybridMultilevel"/>
    <w:tmpl w:val="EE9A52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4B751E9"/>
    <w:multiLevelType w:val="multilevel"/>
    <w:tmpl w:val="290E6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F33873"/>
    <w:multiLevelType w:val="multilevel"/>
    <w:tmpl w:val="927C0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DA5230"/>
    <w:multiLevelType w:val="multilevel"/>
    <w:tmpl w:val="76D09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B54579"/>
    <w:multiLevelType w:val="multilevel"/>
    <w:tmpl w:val="05C23A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C447E4"/>
    <w:multiLevelType w:val="multilevel"/>
    <w:tmpl w:val="5E0EA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4091239">
    <w:abstractNumId w:val="3"/>
  </w:num>
  <w:num w:numId="2" w16cid:durableId="2054888142">
    <w:abstractNumId w:val="5"/>
  </w:num>
  <w:num w:numId="3" w16cid:durableId="731930288">
    <w:abstractNumId w:val="4"/>
  </w:num>
  <w:num w:numId="4" w16cid:durableId="864564136">
    <w:abstractNumId w:val="1"/>
  </w:num>
  <w:num w:numId="5" w16cid:durableId="1589659912">
    <w:abstractNumId w:val="7"/>
  </w:num>
  <w:num w:numId="6" w16cid:durableId="1820229462">
    <w:abstractNumId w:val="6"/>
  </w:num>
  <w:num w:numId="7" w16cid:durableId="1433159212">
    <w:abstractNumId w:val="9"/>
  </w:num>
  <w:num w:numId="8" w16cid:durableId="1516918304">
    <w:abstractNumId w:val="8"/>
  </w:num>
  <w:num w:numId="9" w16cid:durableId="1488862395">
    <w:abstractNumId w:val="0"/>
  </w:num>
  <w:num w:numId="10" w16cid:durableId="5112671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6D4"/>
    <w:rsid w:val="00002B4A"/>
    <w:rsid w:val="000256FA"/>
    <w:rsid w:val="00046162"/>
    <w:rsid w:val="00073C24"/>
    <w:rsid w:val="00090FB6"/>
    <w:rsid w:val="00096C16"/>
    <w:rsid w:val="000B52D7"/>
    <w:rsid w:val="000E1031"/>
    <w:rsid w:val="001363B1"/>
    <w:rsid w:val="00184F22"/>
    <w:rsid w:val="001A0363"/>
    <w:rsid w:val="001A3EA6"/>
    <w:rsid w:val="001F6905"/>
    <w:rsid w:val="00217BDD"/>
    <w:rsid w:val="0028015E"/>
    <w:rsid w:val="00290B7A"/>
    <w:rsid w:val="002B72C2"/>
    <w:rsid w:val="002E567C"/>
    <w:rsid w:val="00341EEC"/>
    <w:rsid w:val="00350AE6"/>
    <w:rsid w:val="00460B41"/>
    <w:rsid w:val="00474097"/>
    <w:rsid w:val="004C6F1B"/>
    <w:rsid w:val="004E24F7"/>
    <w:rsid w:val="00557578"/>
    <w:rsid w:val="005A2722"/>
    <w:rsid w:val="005A5F07"/>
    <w:rsid w:val="00622124"/>
    <w:rsid w:val="00641466"/>
    <w:rsid w:val="00645EB4"/>
    <w:rsid w:val="00682215"/>
    <w:rsid w:val="006D0946"/>
    <w:rsid w:val="006E2767"/>
    <w:rsid w:val="006F3D52"/>
    <w:rsid w:val="00731F63"/>
    <w:rsid w:val="00736984"/>
    <w:rsid w:val="00781F29"/>
    <w:rsid w:val="007D5BBC"/>
    <w:rsid w:val="008511F5"/>
    <w:rsid w:val="00892B97"/>
    <w:rsid w:val="008A26D4"/>
    <w:rsid w:val="008A43C8"/>
    <w:rsid w:val="008D44C0"/>
    <w:rsid w:val="008E3489"/>
    <w:rsid w:val="00A05C6A"/>
    <w:rsid w:val="00A37A75"/>
    <w:rsid w:val="00A67835"/>
    <w:rsid w:val="00B20C5B"/>
    <w:rsid w:val="00B67D0A"/>
    <w:rsid w:val="00B7011F"/>
    <w:rsid w:val="00BB325C"/>
    <w:rsid w:val="00BD0BB7"/>
    <w:rsid w:val="00BD1B20"/>
    <w:rsid w:val="00BE6480"/>
    <w:rsid w:val="00C12015"/>
    <w:rsid w:val="00C1235C"/>
    <w:rsid w:val="00D110B5"/>
    <w:rsid w:val="00D47F39"/>
    <w:rsid w:val="00DF72FF"/>
    <w:rsid w:val="00E0198A"/>
    <w:rsid w:val="00E63FED"/>
    <w:rsid w:val="00EA4FE5"/>
    <w:rsid w:val="00EC2FCD"/>
    <w:rsid w:val="00EC4471"/>
    <w:rsid w:val="00EC4A85"/>
    <w:rsid w:val="00EC5F29"/>
    <w:rsid w:val="00EF799E"/>
    <w:rsid w:val="00FA626D"/>
    <w:rsid w:val="00FB039E"/>
    <w:rsid w:val="00FC10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ED9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B20"/>
    <w:rPr>
      <w:rFonts w:ascii="Times New Roman" w:eastAsia="Times New Roman" w:hAnsi="Times New Roman" w:cs="Times New Roman"/>
      <w:lang w:eastAsia="fr-FR"/>
    </w:rPr>
  </w:style>
  <w:style w:type="paragraph" w:styleId="Titre1">
    <w:name w:val="heading 1"/>
    <w:basedOn w:val="Normal"/>
    <w:next w:val="Normal"/>
    <w:link w:val="Titre1Car"/>
    <w:uiPriority w:val="9"/>
    <w:qFormat/>
    <w:rsid w:val="005A5F0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184F2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E0198A"/>
    <w:pPr>
      <w:keepNext/>
      <w:keepLines/>
      <w:spacing w:before="200"/>
      <w:outlineLvl w:val="2"/>
    </w:pPr>
    <w:rPr>
      <w:rFonts w:asciiTheme="majorHAnsi" w:eastAsiaTheme="majorEastAsia" w:hAnsiTheme="majorHAnsi" w:cstheme="majorBidi"/>
      <w:b/>
      <w:bCs/>
      <w:color w:val="4472C4" w:themeColor="accent1"/>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1363B1"/>
    <w:pPr>
      <w:spacing w:before="100" w:beforeAutospacing="1" w:after="100" w:afterAutospacing="1"/>
    </w:pPr>
  </w:style>
  <w:style w:type="character" w:styleId="lev">
    <w:name w:val="Strong"/>
    <w:basedOn w:val="Policepardfaut"/>
    <w:uiPriority w:val="22"/>
    <w:qFormat/>
    <w:rsid w:val="001363B1"/>
    <w:rPr>
      <w:b/>
      <w:bCs/>
    </w:rPr>
  </w:style>
  <w:style w:type="character" w:customStyle="1" w:styleId="truncate">
    <w:name w:val="truncate"/>
    <w:basedOn w:val="Policepardfaut"/>
    <w:rsid w:val="001363B1"/>
  </w:style>
  <w:style w:type="paragraph" w:styleId="Notedefin">
    <w:name w:val="endnote text"/>
    <w:basedOn w:val="Normal"/>
    <w:link w:val="NotedefinCar"/>
    <w:uiPriority w:val="99"/>
    <w:semiHidden/>
    <w:unhideWhenUsed/>
    <w:rsid w:val="00C12015"/>
    <w:rPr>
      <w:rFonts w:asciiTheme="minorHAnsi" w:eastAsiaTheme="minorHAnsi" w:hAnsiTheme="minorHAnsi" w:cstheme="minorBidi"/>
      <w:sz w:val="20"/>
      <w:szCs w:val="20"/>
      <w:lang w:eastAsia="en-US"/>
    </w:rPr>
  </w:style>
  <w:style w:type="character" w:customStyle="1" w:styleId="NotedefinCar">
    <w:name w:val="Note de fin Car"/>
    <w:basedOn w:val="Policepardfaut"/>
    <w:link w:val="Notedefin"/>
    <w:uiPriority w:val="99"/>
    <w:semiHidden/>
    <w:rsid w:val="00C12015"/>
    <w:rPr>
      <w:sz w:val="20"/>
      <w:szCs w:val="20"/>
    </w:rPr>
  </w:style>
  <w:style w:type="character" w:styleId="Appeldenotedefin">
    <w:name w:val="endnote reference"/>
    <w:basedOn w:val="Policepardfaut"/>
    <w:uiPriority w:val="99"/>
    <w:semiHidden/>
    <w:unhideWhenUsed/>
    <w:rsid w:val="00C12015"/>
    <w:rPr>
      <w:vertAlign w:val="superscript"/>
    </w:rPr>
  </w:style>
  <w:style w:type="paragraph" w:styleId="Notedebasdepage">
    <w:name w:val="footnote text"/>
    <w:basedOn w:val="Normal"/>
    <w:link w:val="NotedebasdepageCar"/>
    <w:uiPriority w:val="99"/>
    <w:semiHidden/>
    <w:unhideWhenUsed/>
    <w:rsid w:val="00C12015"/>
    <w:rPr>
      <w:rFonts w:asciiTheme="minorHAnsi" w:eastAsiaTheme="minorHAnsi" w:hAnsiTheme="minorHAnsi" w:cstheme="minorBidi"/>
      <w:sz w:val="20"/>
      <w:szCs w:val="20"/>
      <w:lang w:eastAsia="en-US"/>
    </w:rPr>
  </w:style>
  <w:style w:type="character" w:customStyle="1" w:styleId="NotedebasdepageCar">
    <w:name w:val="Note de bas de page Car"/>
    <w:basedOn w:val="Policepardfaut"/>
    <w:link w:val="Notedebasdepage"/>
    <w:uiPriority w:val="99"/>
    <w:semiHidden/>
    <w:rsid w:val="00C12015"/>
    <w:rPr>
      <w:sz w:val="20"/>
      <w:szCs w:val="20"/>
    </w:rPr>
  </w:style>
  <w:style w:type="character" w:styleId="Appelnotedebasdep">
    <w:name w:val="footnote reference"/>
    <w:basedOn w:val="Policepardfaut"/>
    <w:uiPriority w:val="99"/>
    <w:semiHidden/>
    <w:unhideWhenUsed/>
    <w:rsid w:val="00C12015"/>
    <w:rPr>
      <w:vertAlign w:val="superscript"/>
    </w:rPr>
  </w:style>
  <w:style w:type="character" w:styleId="Lienhypertexte">
    <w:name w:val="Hyperlink"/>
    <w:basedOn w:val="Policepardfaut"/>
    <w:uiPriority w:val="99"/>
    <w:unhideWhenUsed/>
    <w:rsid w:val="00046162"/>
    <w:rPr>
      <w:color w:val="0563C1" w:themeColor="hyperlink"/>
      <w:u w:val="single"/>
    </w:rPr>
  </w:style>
  <w:style w:type="character" w:styleId="Mentionnonrsolue">
    <w:name w:val="Unresolved Mention"/>
    <w:basedOn w:val="Policepardfaut"/>
    <w:uiPriority w:val="99"/>
    <w:semiHidden/>
    <w:unhideWhenUsed/>
    <w:rsid w:val="00046162"/>
    <w:rPr>
      <w:color w:val="605E5C"/>
      <w:shd w:val="clear" w:color="auto" w:fill="E1DFDD"/>
    </w:rPr>
  </w:style>
  <w:style w:type="paragraph" w:styleId="En-tte">
    <w:name w:val="header"/>
    <w:basedOn w:val="Normal"/>
    <w:link w:val="En-tteCar"/>
    <w:uiPriority w:val="99"/>
    <w:unhideWhenUsed/>
    <w:rsid w:val="00BD1B20"/>
    <w:pPr>
      <w:tabs>
        <w:tab w:val="center" w:pos="4536"/>
        <w:tab w:val="right" w:pos="9072"/>
      </w:tabs>
    </w:pPr>
  </w:style>
  <w:style w:type="character" w:customStyle="1" w:styleId="En-tteCar">
    <w:name w:val="En-tête Car"/>
    <w:basedOn w:val="Policepardfaut"/>
    <w:link w:val="En-tte"/>
    <w:uiPriority w:val="99"/>
    <w:rsid w:val="00BD1B20"/>
    <w:rPr>
      <w:rFonts w:ascii="Times New Roman" w:eastAsia="Times New Roman" w:hAnsi="Times New Roman" w:cs="Times New Roman"/>
      <w:lang w:eastAsia="fr-FR"/>
    </w:rPr>
  </w:style>
  <w:style w:type="paragraph" w:styleId="Pieddepage">
    <w:name w:val="footer"/>
    <w:basedOn w:val="Normal"/>
    <w:link w:val="PieddepageCar"/>
    <w:uiPriority w:val="99"/>
    <w:unhideWhenUsed/>
    <w:rsid w:val="00BD1B20"/>
    <w:pPr>
      <w:tabs>
        <w:tab w:val="center" w:pos="4536"/>
        <w:tab w:val="right" w:pos="9072"/>
      </w:tabs>
    </w:pPr>
  </w:style>
  <w:style w:type="character" w:customStyle="1" w:styleId="PieddepageCar">
    <w:name w:val="Pied de page Car"/>
    <w:basedOn w:val="Policepardfaut"/>
    <w:link w:val="Pieddepage"/>
    <w:uiPriority w:val="99"/>
    <w:rsid w:val="00BD1B20"/>
    <w:rPr>
      <w:rFonts w:ascii="Times New Roman" w:eastAsia="Times New Roman" w:hAnsi="Times New Roman" w:cs="Times New Roman"/>
      <w:lang w:eastAsia="fr-FR"/>
    </w:rPr>
  </w:style>
  <w:style w:type="paragraph" w:styleId="Paragraphedeliste">
    <w:name w:val="List Paragraph"/>
    <w:basedOn w:val="Normal"/>
    <w:uiPriority w:val="34"/>
    <w:qFormat/>
    <w:rsid w:val="00217BDD"/>
    <w:pPr>
      <w:ind w:left="720"/>
      <w:contextualSpacing/>
    </w:pPr>
  </w:style>
  <w:style w:type="paragraph" w:styleId="Titre">
    <w:name w:val="Title"/>
    <w:basedOn w:val="Normal"/>
    <w:next w:val="Normal"/>
    <w:link w:val="TitreCar"/>
    <w:uiPriority w:val="10"/>
    <w:qFormat/>
    <w:rsid w:val="000256FA"/>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256FA"/>
    <w:rPr>
      <w:rFonts w:asciiTheme="majorHAnsi" w:eastAsiaTheme="majorEastAsia" w:hAnsiTheme="majorHAnsi" w:cstheme="majorBidi"/>
      <w:spacing w:val="-10"/>
      <w:kern w:val="28"/>
      <w:sz w:val="56"/>
      <w:szCs w:val="56"/>
      <w:lang w:eastAsia="fr-FR"/>
    </w:rPr>
  </w:style>
  <w:style w:type="character" w:customStyle="1" w:styleId="Titre1Car">
    <w:name w:val="Titre 1 Car"/>
    <w:basedOn w:val="Policepardfaut"/>
    <w:link w:val="Titre1"/>
    <w:uiPriority w:val="9"/>
    <w:rsid w:val="005A5F07"/>
    <w:rPr>
      <w:rFonts w:asciiTheme="majorHAnsi" w:eastAsiaTheme="majorEastAsia" w:hAnsiTheme="majorHAnsi" w:cstheme="majorBidi"/>
      <w:color w:val="2F5496" w:themeColor="accent1" w:themeShade="BF"/>
      <w:sz w:val="32"/>
      <w:szCs w:val="32"/>
      <w:lang w:eastAsia="fr-FR"/>
    </w:rPr>
  </w:style>
  <w:style w:type="paragraph" w:styleId="Sous-titre">
    <w:name w:val="Subtitle"/>
    <w:basedOn w:val="Normal"/>
    <w:next w:val="Normal"/>
    <w:link w:val="Sous-titreCar"/>
    <w:uiPriority w:val="11"/>
    <w:qFormat/>
    <w:rsid w:val="005A5F0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5A5F07"/>
    <w:rPr>
      <w:rFonts w:eastAsiaTheme="minorEastAsia"/>
      <w:color w:val="5A5A5A" w:themeColor="text1" w:themeTint="A5"/>
      <w:spacing w:val="15"/>
      <w:sz w:val="22"/>
      <w:szCs w:val="22"/>
      <w:lang w:eastAsia="fr-FR"/>
    </w:rPr>
  </w:style>
  <w:style w:type="character" w:styleId="Accentuation">
    <w:name w:val="Emphasis"/>
    <w:basedOn w:val="Policepardfaut"/>
    <w:uiPriority w:val="20"/>
    <w:qFormat/>
    <w:rsid w:val="005A5F07"/>
    <w:rPr>
      <w:i/>
      <w:iCs/>
    </w:rPr>
  </w:style>
  <w:style w:type="character" w:customStyle="1" w:styleId="Titre3Car">
    <w:name w:val="Titre 3 Car"/>
    <w:basedOn w:val="Policepardfaut"/>
    <w:link w:val="Titre3"/>
    <w:uiPriority w:val="9"/>
    <w:rsid w:val="00E0198A"/>
    <w:rPr>
      <w:rFonts w:asciiTheme="majorHAnsi" w:eastAsiaTheme="majorEastAsia" w:hAnsiTheme="majorHAnsi" w:cstheme="majorBidi"/>
      <w:b/>
      <w:bCs/>
      <w:color w:val="4472C4" w:themeColor="accent1"/>
    </w:rPr>
  </w:style>
  <w:style w:type="character" w:styleId="Lienhypertextesuivivisit">
    <w:name w:val="FollowedHyperlink"/>
    <w:basedOn w:val="Policepardfaut"/>
    <w:uiPriority w:val="99"/>
    <w:semiHidden/>
    <w:unhideWhenUsed/>
    <w:rsid w:val="00BB325C"/>
    <w:rPr>
      <w:color w:val="954F72" w:themeColor="followedHyperlink"/>
      <w:u w:val="single"/>
    </w:rPr>
  </w:style>
  <w:style w:type="character" w:customStyle="1" w:styleId="katex-mathml">
    <w:name w:val="katex-mathml"/>
    <w:basedOn w:val="Policepardfaut"/>
    <w:rsid w:val="00622124"/>
  </w:style>
  <w:style w:type="character" w:customStyle="1" w:styleId="mord">
    <w:name w:val="mord"/>
    <w:basedOn w:val="Policepardfaut"/>
    <w:rsid w:val="00622124"/>
  </w:style>
  <w:style w:type="character" w:customStyle="1" w:styleId="mrel">
    <w:name w:val="mrel"/>
    <w:basedOn w:val="Policepardfaut"/>
    <w:rsid w:val="00622124"/>
  </w:style>
  <w:style w:type="character" w:customStyle="1" w:styleId="katex">
    <w:name w:val="katex"/>
    <w:basedOn w:val="Policepardfaut"/>
    <w:rsid w:val="00622124"/>
  </w:style>
  <w:style w:type="character" w:customStyle="1" w:styleId="mpunct">
    <w:name w:val="mpunct"/>
    <w:basedOn w:val="Policepardfaut"/>
    <w:rsid w:val="008E3489"/>
  </w:style>
  <w:style w:type="character" w:customStyle="1" w:styleId="Titre2Car">
    <w:name w:val="Titre 2 Car"/>
    <w:basedOn w:val="Policepardfaut"/>
    <w:link w:val="Titre2"/>
    <w:uiPriority w:val="9"/>
    <w:semiHidden/>
    <w:rsid w:val="00184F22"/>
    <w:rPr>
      <w:rFonts w:asciiTheme="majorHAnsi" w:eastAsiaTheme="majorEastAsia" w:hAnsiTheme="majorHAnsi" w:cstheme="majorBidi"/>
      <w:color w:val="2F5496" w:themeColor="accent1" w:themeShade="BF"/>
      <w:sz w:val="26"/>
      <w:szCs w:val="2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599984">
      <w:bodyDiv w:val="1"/>
      <w:marLeft w:val="0"/>
      <w:marRight w:val="0"/>
      <w:marTop w:val="0"/>
      <w:marBottom w:val="0"/>
      <w:divBdr>
        <w:top w:val="none" w:sz="0" w:space="0" w:color="auto"/>
        <w:left w:val="none" w:sz="0" w:space="0" w:color="auto"/>
        <w:bottom w:val="none" w:sz="0" w:space="0" w:color="auto"/>
        <w:right w:val="none" w:sz="0" w:space="0" w:color="auto"/>
      </w:divBdr>
    </w:div>
    <w:div w:id="827525419">
      <w:bodyDiv w:val="1"/>
      <w:marLeft w:val="0"/>
      <w:marRight w:val="0"/>
      <w:marTop w:val="0"/>
      <w:marBottom w:val="0"/>
      <w:divBdr>
        <w:top w:val="none" w:sz="0" w:space="0" w:color="auto"/>
        <w:left w:val="none" w:sz="0" w:space="0" w:color="auto"/>
        <w:bottom w:val="none" w:sz="0" w:space="0" w:color="auto"/>
        <w:right w:val="none" w:sz="0" w:space="0" w:color="auto"/>
      </w:divBdr>
      <w:divsChild>
        <w:div w:id="1002050369">
          <w:marLeft w:val="0"/>
          <w:marRight w:val="0"/>
          <w:marTop w:val="0"/>
          <w:marBottom w:val="0"/>
          <w:divBdr>
            <w:top w:val="none" w:sz="0" w:space="0" w:color="auto"/>
            <w:left w:val="none" w:sz="0" w:space="0" w:color="auto"/>
            <w:bottom w:val="none" w:sz="0" w:space="0" w:color="auto"/>
            <w:right w:val="none" w:sz="0" w:space="0" w:color="auto"/>
          </w:divBdr>
        </w:div>
        <w:div w:id="1141925139">
          <w:marLeft w:val="0"/>
          <w:marRight w:val="0"/>
          <w:marTop w:val="0"/>
          <w:marBottom w:val="0"/>
          <w:divBdr>
            <w:top w:val="none" w:sz="0" w:space="0" w:color="auto"/>
            <w:left w:val="none" w:sz="0" w:space="0" w:color="auto"/>
            <w:bottom w:val="none" w:sz="0" w:space="0" w:color="auto"/>
            <w:right w:val="none" w:sz="0" w:space="0" w:color="auto"/>
          </w:divBdr>
        </w:div>
        <w:div w:id="683090216">
          <w:marLeft w:val="0"/>
          <w:marRight w:val="0"/>
          <w:marTop w:val="0"/>
          <w:marBottom w:val="0"/>
          <w:divBdr>
            <w:top w:val="none" w:sz="0" w:space="0" w:color="auto"/>
            <w:left w:val="none" w:sz="0" w:space="0" w:color="auto"/>
            <w:bottom w:val="none" w:sz="0" w:space="0" w:color="auto"/>
            <w:right w:val="none" w:sz="0" w:space="0" w:color="auto"/>
          </w:divBdr>
        </w:div>
        <w:div w:id="96606354">
          <w:marLeft w:val="0"/>
          <w:marRight w:val="0"/>
          <w:marTop w:val="0"/>
          <w:marBottom w:val="0"/>
          <w:divBdr>
            <w:top w:val="none" w:sz="0" w:space="0" w:color="auto"/>
            <w:left w:val="none" w:sz="0" w:space="0" w:color="auto"/>
            <w:bottom w:val="none" w:sz="0" w:space="0" w:color="auto"/>
            <w:right w:val="none" w:sz="0" w:space="0" w:color="auto"/>
          </w:divBdr>
        </w:div>
      </w:divsChild>
    </w:div>
    <w:div w:id="1118917334">
      <w:bodyDiv w:val="1"/>
      <w:marLeft w:val="0"/>
      <w:marRight w:val="0"/>
      <w:marTop w:val="0"/>
      <w:marBottom w:val="0"/>
      <w:divBdr>
        <w:top w:val="none" w:sz="0" w:space="0" w:color="auto"/>
        <w:left w:val="none" w:sz="0" w:space="0" w:color="auto"/>
        <w:bottom w:val="none" w:sz="0" w:space="0" w:color="auto"/>
        <w:right w:val="none" w:sz="0" w:space="0" w:color="auto"/>
      </w:divBdr>
    </w:div>
    <w:div w:id="1239747795">
      <w:bodyDiv w:val="1"/>
      <w:marLeft w:val="0"/>
      <w:marRight w:val="0"/>
      <w:marTop w:val="0"/>
      <w:marBottom w:val="0"/>
      <w:divBdr>
        <w:top w:val="none" w:sz="0" w:space="0" w:color="auto"/>
        <w:left w:val="none" w:sz="0" w:space="0" w:color="auto"/>
        <w:bottom w:val="none" w:sz="0" w:space="0" w:color="auto"/>
        <w:right w:val="none" w:sz="0" w:space="0" w:color="auto"/>
      </w:divBdr>
      <w:divsChild>
        <w:div w:id="322205903">
          <w:marLeft w:val="0"/>
          <w:marRight w:val="0"/>
          <w:marTop w:val="0"/>
          <w:marBottom w:val="0"/>
          <w:divBdr>
            <w:top w:val="none" w:sz="0" w:space="0" w:color="auto"/>
            <w:left w:val="none" w:sz="0" w:space="0" w:color="auto"/>
            <w:bottom w:val="none" w:sz="0" w:space="0" w:color="auto"/>
            <w:right w:val="none" w:sz="0" w:space="0" w:color="auto"/>
          </w:divBdr>
        </w:div>
        <w:div w:id="1127697045">
          <w:marLeft w:val="0"/>
          <w:marRight w:val="0"/>
          <w:marTop w:val="0"/>
          <w:marBottom w:val="0"/>
          <w:divBdr>
            <w:top w:val="none" w:sz="0" w:space="0" w:color="auto"/>
            <w:left w:val="none" w:sz="0" w:space="0" w:color="auto"/>
            <w:bottom w:val="none" w:sz="0" w:space="0" w:color="auto"/>
            <w:right w:val="none" w:sz="0" w:space="0" w:color="auto"/>
          </w:divBdr>
        </w:div>
        <w:div w:id="2109806349">
          <w:marLeft w:val="0"/>
          <w:marRight w:val="0"/>
          <w:marTop w:val="0"/>
          <w:marBottom w:val="0"/>
          <w:divBdr>
            <w:top w:val="none" w:sz="0" w:space="0" w:color="auto"/>
            <w:left w:val="none" w:sz="0" w:space="0" w:color="auto"/>
            <w:bottom w:val="none" w:sz="0" w:space="0" w:color="auto"/>
            <w:right w:val="none" w:sz="0" w:space="0" w:color="auto"/>
          </w:divBdr>
          <w:divsChild>
            <w:div w:id="886334428">
              <w:marLeft w:val="0"/>
              <w:marRight w:val="0"/>
              <w:marTop w:val="0"/>
              <w:marBottom w:val="0"/>
              <w:divBdr>
                <w:top w:val="none" w:sz="0" w:space="0" w:color="auto"/>
                <w:left w:val="none" w:sz="0" w:space="0" w:color="auto"/>
                <w:bottom w:val="none" w:sz="0" w:space="0" w:color="auto"/>
                <w:right w:val="none" w:sz="0" w:space="0" w:color="auto"/>
              </w:divBdr>
            </w:div>
            <w:div w:id="690493111">
              <w:marLeft w:val="0"/>
              <w:marRight w:val="0"/>
              <w:marTop w:val="0"/>
              <w:marBottom w:val="0"/>
              <w:divBdr>
                <w:top w:val="none" w:sz="0" w:space="0" w:color="auto"/>
                <w:left w:val="none" w:sz="0" w:space="0" w:color="auto"/>
                <w:bottom w:val="none" w:sz="0" w:space="0" w:color="auto"/>
                <w:right w:val="none" w:sz="0" w:space="0" w:color="auto"/>
              </w:divBdr>
              <w:divsChild>
                <w:div w:id="407701229">
                  <w:marLeft w:val="0"/>
                  <w:marRight w:val="0"/>
                  <w:marTop w:val="0"/>
                  <w:marBottom w:val="0"/>
                  <w:divBdr>
                    <w:top w:val="none" w:sz="0" w:space="0" w:color="auto"/>
                    <w:left w:val="none" w:sz="0" w:space="0" w:color="auto"/>
                    <w:bottom w:val="none" w:sz="0" w:space="0" w:color="auto"/>
                    <w:right w:val="none" w:sz="0" w:space="0" w:color="auto"/>
                  </w:divBdr>
                </w:div>
                <w:div w:id="90938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145752">
      <w:bodyDiv w:val="1"/>
      <w:marLeft w:val="0"/>
      <w:marRight w:val="0"/>
      <w:marTop w:val="0"/>
      <w:marBottom w:val="0"/>
      <w:divBdr>
        <w:top w:val="none" w:sz="0" w:space="0" w:color="auto"/>
        <w:left w:val="none" w:sz="0" w:space="0" w:color="auto"/>
        <w:bottom w:val="none" w:sz="0" w:space="0" w:color="auto"/>
        <w:right w:val="none" w:sz="0" w:space="0" w:color="auto"/>
      </w:divBdr>
      <w:divsChild>
        <w:div w:id="1778794893">
          <w:marLeft w:val="0"/>
          <w:marRight w:val="0"/>
          <w:marTop w:val="0"/>
          <w:marBottom w:val="0"/>
          <w:divBdr>
            <w:top w:val="none" w:sz="0" w:space="0" w:color="auto"/>
            <w:left w:val="none" w:sz="0" w:space="0" w:color="auto"/>
            <w:bottom w:val="none" w:sz="0" w:space="0" w:color="auto"/>
            <w:right w:val="none" w:sz="0" w:space="0" w:color="auto"/>
          </w:divBdr>
          <w:divsChild>
            <w:div w:id="673992228">
              <w:marLeft w:val="0"/>
              <w:marRight w:val="0"/>
              <w:marTop w:val="0"/>
              <w:marBottom w:val="0"/>
              <w:divBdr>
                <w:top w:val="none" w:sz="0" w:space="0" w:color="auto"/>
                <w:left w:val="none" w:sz="0" w:space="0" w:color="auto"/>
                <w:bottom w:val="none" w:sz="0" w:space="0" w:color="auto"/>
                <w:right w:val="none" w:sz="0" w:space="0" w:color="auto"/>
              </w:divBdr>
              <w:divsChild>
                <w:div w:id="135610447">
                  <w:marLeft w:val="0"/>
                  <w:marRight w:val="0"/>
                  <w:marTop w:val="0"/>
                  <w:marBottom w:val="0"/>
                  <w:divBdr>
                    <w:top w:val="none" w:sz="0" w:space="0" w:color="auto"/>
                    <w:left w:val="none" w:sz="0" w:space="0" w:color="auto"/>
                    <w:bottom w:val="none" w:sz="0" w:space="0" w:color="auto"/>
                    <w:right w:val="none" w:sz="0" w:space="0" w:color="auto"/>
                  </w:divBdr>
                  <w:divsChild>
                    <w:div w:id="1064522321">
                      <w:marLeft w:val="0"/>
                      <w:marRight w:val="0"/>
                      <w:marTop w:val="0"/>
                      <w:marBottom w:val="0"/>
                      <w:divBdr>
                        <w:top w:val="none" w:sz="0" w:space="0" w:color="auto"/>
                        <w:left w:val="none" w:sz="0" w:space="0" w:color="auto"/>
                        <w:bottom w:val="none" w:sz="0" w:space="0" w:color="auto"/>
                        <w:right w:val="none" w:sz="0" w:space="0" w:color="auto"/>
                      </w:divBdr>
                      <w:divsChild>
                        <w:div w:id="761218661">
                          <w:marLeft w:val="0"/>
                          <w:marRight w:val="0"/>
                          <w:marTop w:val="0"/>
                          <w:marBottom w:val="0"/>
                          <w:divBdr>
                            <w:top w:val="none" w:sz="0" w:space="0" w:color="auto"/>
                            <w:left w:val="none" w:sz="0" w:space="0" w:color="auto"/>
                            <w:bottom w:val="none" w:sz="0" w:space="0" w:color="auto"/>
                            <w:right w:val="none" w:sz="0" w:space="0" w:color="auto"/>
                          </w:divBdr>
                          <w:divsChild>
                            <w:div w:id="390885341">
                              <w:marLeft w:val="0"/>
                              <w:marRight w:val="0"/>
                              <w:marTop w:val="0"/>
                              <w:marBottom w:val="0"/>
                              <w:divBdr>
                                <w:top w:val="none" w:sz="0" w:space="0" w:color="auto"/>
                                <w:left w:val="none" w:sz="0" w:space="0" w:color="auto"/>
                                <w:bottom w:val="none" w:sz="0" w:space="0" w:color="auto"/>
                                <w:right w:val="none" w:sz="0" w:space="0" w:color="auto"/>
                              </w:divBdr>
                              <w:divsChild>
                                <w:div w:id="439842495">
                                  <w:marLeft w:val="0"/>
                                  <w:marRight w:val="0"/>
                                  <w:marTop w:val="0"/>
                                  <w:marBottom w:val="0"/>
                                  <w:divBdr>
                                    <w:top w:val="none" w:sz="0" w:space="0" w:color="auto"/>
                                    <w:left w:val="none" w:sz="0" w:space="0" w:color="auto"/>
                                    <w:bottom w:val="none" w:sz="0" w:space="0" w:color="auto"/>
                                    <w:right w:val="none" w:sz="0" w:space="0" w:color="auto"/>
                                  </w:divBdr>
                                </w:div>
                                <w:div w:id="375928603">
                                  <w:marLeft w:val="0"/>
                                  <w:marRight w:val="0"/>
                                  <w:marTop w:val="0"/>
                                  <w:marBottom w:val="0"/>
                                  <w:divBdr>
                                    <w:top w:val="none" w:sz="0" w:space="0" w:color="auto"/>
                                    <w:left w:val="none" w:sz="0" w:space="0" w:color="auto"/>
                                    <w:bottom w:val="none" w:sz="0" w:space="0" w:color="auto"/>
                                    <w:right w:val="none" w:sz="0" w:space="0" w:color="auto"/>
                                  </w:divBdr>
                                </w:div>
                                <w:div w:id="573512346">
                                  <w:marLeft w:val="0"/>
                                  <w:marRight w:val="0"/>
                                  <w:marTop w:val="0"/>
                                  <w:marBottom w:val="0"/>
                                  <w:divBdr>
                                    <w:top w:val="none" w:sz="0" w:space="0" w:color="auto"/>
                                    <w:left w:val="none" w:sz="0" w:space="0" w:color="auto"/>
                                    <w:bottom w:val="none" w:sz="0" w:space="0" w:color="auto"/>
                                    <w:right w:val="none" w:sz="0" w:space="0" w:color="auto"/>
                                  </w:divBdr>
                                </w:div>
                                <w:div w:id="25691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40449">
      <w:bodyDiv w:val="1"/>
      <w:marLeft w:val="0"/>
      <w:marRight w:val="0"/>
      <w:marTop w:val="0"/>
      <w:marBottom w:val="0"/>
      <w:divBdr>
        <w:top w:val="none" w:sz="0" w:space="0" w:color="auto"/>
        <w:left w:val="none" w:sz="0" w:space="0" w:color="auto"/>
        <w:bottom w:val="none" w:sz="0" w:space="0" w:color="auto"/>
        <w:right w:val="none" w:sz="0" w:space="0" w:color="auto"/>
      </w:divBdr>
    </w:div>
    <w:div w:id="181313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2E821-AE6D-4642-A4B0-A17F28B40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 - Article.dotx</Template>
  <TotalTime>0</TotalTime>
  <Pages>1</Pages>
  <Words>3</Words>
  <Characters>21</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Diapason en chiffres</dc:title>
  <dc:subject/>
  <dc:creator>Tin&amp;Iry</dc:creator>
  <cp:keywords/>
  <dc:description/>
  <cp:lastModifiedBy>Tin RAKOTOMALALA</cp:lastModifiedBy>
  <cp:revision>1</cp:revision>
  <dcterms:created xsi:type="dcterms:W3CDTF">2026-01-01T20:52:00Z</dcterms:created>
  <dcterms:modified xsi:type="dcterms:W3CDTF">2026-01-01T20:52:00Z</dcterms:modified>
</cp:coreProperties>
</file>